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pacing w:after="312" w:afterLines="100" w:line="600" w:lineRule="exact"/>
        <w:jc w:val="center"/>
        <w:outlineLvl w:val="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大庆市人民医院防统方系统采购项目</w:t>
      </w:r>
    </w:p>
    <w:p>
      <w:pPr>
        <w:pStyle w:val="8"/>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一、采购单位：大庆市人民医院</w:t>
      </w:r>
    </w:p>
    <w:p>
      <w:pPr>
        <w:pStyle w:val="8"/>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二、项目名称：大庆市人民医院防统方系统采购项目（编号:XXZX2023008）</w:t>
      </w:r>
    </w:p>
    <w:p>
      <w:pPr>
        <w:pStyle w:val="8"/>
        <w:adjustRightInd w:val="0"/>
        <w:spacing w:line="480" w:lineRule="auto"/>
        <w:ind w:firstLine="562" w:firstLineChars="200"/>
        <w:outlineLvl w:val="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三、采购方式：竞争性谈判</w:t>
      </w:r>
    </w:p>
    <w:p>
      <w:pPr>
        <w:pStyle w:val="8"/>
        <w:adjustRightInd w:val="0"/>
        <w:spacing w:line="480" w:lineRule="auto"/>
        <w:ind w:firstLine="562" w:firstLineChars="200"/>
        <w:outlineLvl w:val="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四、采购预算：</w:t>
      </w:r>
      <w:r>
        <w:rPr>
          <w:rFonts w:hint="eastAsia" w:ascii="仿宋_GB2312" w:hAnsi="仿宋_GB2312" w:eastAsia="仿宋_GB2312" w:cs="仿宋_GB2312"/>
          <w:b/>
          <w:bCs/>
          <w:sz w:val="28"/>
          <w:szCs w:val="28"/>
          <w:highlight w:val="none"/>
          <w:lang w:val="en-US" w:eastAsia="zh-CN"/>
        </w:rPr>
        <w:t>16.5</w:t>
      </w:r>
      <w:r>
        <w:rPr>
          <w:rFonts w:hint="eastAsia" w:ascii="仿宋_GB2312" w:hAnsi="仿宋_GB2312" w:eastAsia="仿宋_GB2312" w:cs="仿宋_GB2312"/>
          <w:b/>
          <w:bCs/>
          <w:sz w:val="28"/>
          <w:szCs w:val="28"/>
          <w:highlight w:val="none"/>
        </w:rPr>
        <w:t>万元（报价超出采购预算为无效报价）。</w:t>
      </w:r>
    </w:p>
    <w:p>
      <w:pPr>
        <w:pStyle w:val="8"/>
        <w:adjustRightInd w:val="0"/>
        <w:spacing w:after="312" w:afterLines="100" w:line="600" w:lineRule="exact"/>
        <w:ind w:firstLine="562" w:firstLineChars="200"/>
        <w:outlineLvl w:val="0"/>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五、采购内容及技术要求：</w:t>
      </w:r>
    </w:p>
    <w:tbl>
      <w:tblPr>
        <w:tblStyle w:val="5"/>
        <w:tblW w:w="8519" w:type="dxa"/>
        <w:jc w:val="center"/>
        <w:tblLayout w:type="fixed"/>
        <w:tblCellMar>
          <w:top w:w="0" w:type="dxa"/>
          <w:left w:w="0" w:type="dxa"/>
          <w:bottom w:w="0" w:type="dxa"/>
          <w:right w:w="0" w:type="dxa"/>
        </w:tblCellMar>
      </w:tblPr>
      <w:tblGrid>
        <w:gridCol w:w="1688"/>
        <w:gridCol w:w="6831"/>
      </w:tblGrid>
      <w:tr>
        <w:tblPrEx>
          <w:tblCellMar>
            <w:top w:w="0" w:type="dxa"/>
            <w:left w:w="0" w:type="dxa"/>
            <w:bottom w:w="0" w:type="dxa"/>
            <w:right w:w="0" w:type="dxa"/>
          </w:tblCellMar>
        </w:tblPrEx>
        <w:trPr>
          <w:trHeight w:val="467" w:hRule="atLeast"/>
          <w:jc w:val="center"/>
        </w:trPr>
        <w:tc>
          <w:tcPr>
            <w:tcW w:w="8519" w:type="dxa"/>
            <w:gridSpan w:val="2"/>
            <w:tcBorders>
              <w:top w:val="single" w:color="auto" w:sz="8"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jc w:val="center"/>
              <w:rPr>
                <w:rFonts w:asciiTheme="minorEastAsia" w:hAnsiTheme="minorEastAsia"/>
                <w:color w:val="000000"/>
              </w:rPr>
            </w:pPr>
            <w:r>
              <w:rPr>
                <w:rFonts w:hint="eastAsia" w:cs="宋体" w:asciiTheme="minorEastAsia" w:hAnsiTheme="minorEastAsia"/>
                <w:b/>
                <w:color w:val="000000"/>
                <w:kern w:val="0"/>
                <w:lang w:bidi="ar"/>
              </w:rPr>
              <w:t>防统方系统功能及参数</w:t>
            </w:r>
          </w:p>
        </w:tc>
      </w:tr>
      <w:tr>
        <w:tblPrEx>
          <w:tblCellMar>
            <w:top w:w="0" w:type="dxa"/>
            <w:left w:w="0" w:type="dxa"/>
            <w:bottom w:w="0" w:type="dxa"/>
            <w:right w:w="0" w:type="dxa"/>
          </w:tblCellMar>
        </w:tblPrEx>
        <w:trPr>
          <w:trHeight w:val="467" w:hRule="atLeast"/>
          <w:jc w:val="center"/>
        </w:trPr>
        <w:tc>
          <w:tcPr>
            <w:tcW w:w="1688"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jc w:val="center"/>
              <w:rPr>
                <w:rFonts w:asciiTheme="minorEastAsia" w:hAnsiTheme="minorEastAsia"/>
                <w:b/>
                <w:color w:val="000000"/>
              </w:rPr>
            </w:pPr>
            <w:r>
              <w:rPr>
                <w:rFonts w:hint="eastAsia" w:cs="宋体" w:asciiTheme="minorEastAsia" w:hAnsiTheme="minorEastAsia"/>
                <w:b/>
                <w:bCs/>
                <w:color w:val="000000"/>
                <w:kern w:val="0"/>
                <w:lang w:bidi="ar"/>
              </w:rPr>
              <w:t>名称</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jc w:val="center"/>
              <w:rPr>
                <w:rFonts w:asciiTheme="minorEastAsia" w:hAnsiTheme="minorEastAsia"/>
                <w:b/>
                <w:color w:val="000000"/>
              </w:rPr>
            </w:pPr>
            <w:r>
              <w:rPr>
                <w:rFonts w:hint="eastAsia" w:cs="宋体" w:asciiTheme="minorEastAsia" w:hAnsiTheme="minorEastAsia"/>
                <w:b/>
                <w:bCs/>
                <w:color w:val="000000"/>
                <w:kern w:val="0"/>
                <w:lang w:bidi="ar"/>
              </w:rPr>
              <w:t>技术参数及要求</w:t>
            </w:r>
          </w:p>
        </w:tc>
      </w:tr>
      <w:tr>
        <w:tblPrEx>
          <w:tblCellMar>
            <w:top w:w="0" w:type="dxa"/>
            <w:left w:w="0" w:type="dxa"/>
            <w:bottom w:w="0" w:type="dxa"/>
            <w:right w:w="0" w:type="dxa"/>
          </w:tblCellMar>
        </w:tblPrEx>
        <w:trPr>
          <w:trHeight w:val="467" w:hRule="atLeast"/>
          <w:jc w:val="center"/>
        </w:trPr>
        <w:tc>
          <w:tcPr>
            <w:tcW w:w="1688" w:type="dxa"/>
            <w:vMerge w:val="restart"/>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rPr>
                <w:rFonts w:asciiTheme="minorEastAsia" w:hAnsiTheme="minorEastAsia"/>
                <w:color w:val="000000"/>
              </w:rPr>
            </w:pPr>
            <w:r>
              <w:rPr>
                <w:rFonts w:hint="eastAsia" w:cs="宋体" w:asciiTheme="minorEastAsia" w:hAnsiTheme="minorEastAsia"/>
                <w:bCs/>
                <w:color w:val="000000"/>
                <w:kern w:val="0"/>
                <w:lang w:bidi="ar"/>
              </w:rPr>
              <w:t>硬件规格及性能</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采用独立的标准机架式2U硬件架构，软硬件一体化系统，全操作系统，内嵌数据库，用户无需另外安装操作系统及数据库管理系统。</w:t>
            </w:r>
          </w:p>
        </w:tc>
      </w:tr>
      <w:tr>
        <w:tblPrEx>
          <w:tblCellMar>
            <w:top w:w="0" w:type="dxa"/>
            <w:left w:w="0" w:type="dxa"/>
            <w:bottom w:w="0" w:type="dxa"/>
            <w:right w:w="0" w:type="dxa"/>
          </w:tblCellMar>
        </w:tblPrEx>
        <w:trPr>
          <w:trHeight w:val="467"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内存&gt;=16GB；&gt;=6*100/1000M 电口；硬盘存储&gt;=2TB，采用SSD、HDD多级</w:t>
            </w:r>
            <w:r>
              <w:rPr>
                <w:rFonts w:cs="宋体" w:asciiTheme="minorEastAsia" w:hAnsiTheme="minorEastAsia"/>
                <w:bCs/>
                <w:color w:val="000000"/>
                <w:kern w:val="0"/>
                <w:lang w:bidi="ar"/>
              </w:rPr>
              <w:t>存储</w:t>
            </w:r>
            <w:r>
              <w:rPr>
                <w:rFonts w:hint="eastAsia" w:cs="宋体" w:asciiTheme="minorEastAsia" w:hAnsiTheme="minorEastAsia"/>
                <w:bCs/>
                <w:color w:val="000000"/>
                <w:kern w:val="0"/>
                <w:lang w:bidi="ar"/>
              </w:rPr>
              <w:t>架构，系统</w:t>
            </w:r>
            <w:r>
              <w:rPr>
                <w:rFonts w:cs="宋体" w:asciiTheme="minorEastAsia" w:hAnsiTheme="minorEastAsia"/>
                <w:bCs/>
                <w:color w:val="000000"/>
                <w:kern w:val="0"/>
                <w:lang w:bidi="ar"/>
              </w:rPr>
              <w:t>和</w:t>
            </w:r>
            <w:r>
              <w:rPr>
                <w:rFonts w:hint="eastAsia" w:cs="宋体" w:asciiTheme="minorEastAsia" w:hAnsiTheme="minorEastAsia"/>
                <w:bCs/>
                <w:color w:val="000000"/>
                <w:kern w:val="0"/>
                <w:lang w:bidi="ar"/>
              </w:rPr>
              <w:t>业务数据</w:t>
            </w:r>
            <w:r>
              <w:rPr>
                <w:rFonts w:cs="宋体" w:asciiTheme="minorEastAsia" w:hAnsiTheme="minorEastAsia"/>
                <w:bCs/>
                <w:color w:val="000000"/>
                <w:kern w:val="0"/>
                <w:lang w:bidi="ar"/>
              </w:rPr>
              <w:t>分离，实现高效</w:t>
            </w:r>
            <w:r>
              <w:rPr>
                <w:rFonts w:hint="eastAsia" w:cs="宋体" w:asciiTheme="minorEastAsia" w:hAnsiTheme="minorEastAsia"/>
                <w:bCs/>
                <w:color w:val="000000"/>
                <w:kern w:val="0"/>
                <w:lang w:bidi="ar"/>
              </w:rPr>
              <w:t>、安全</w:t>
            </w:r>
            <w:r>
              <w:rPr>
                <w:rFonts w:cs="宋体" w:asciiTheme="minorEastAsia" w:hAnsiTheme="minorEastAsia"/>
                <w:bCs/>
                <w:color w:val="000000"/>
                <w:kern w:val="0"/>
                <w:lang w:bidi="ar"/>
              </w:rPr>
              <w:t>存储</w:t>
            </w:r>
            <w:r>
              <w:rPr>
                <w:rFonts w:hint="eastAsia" w:cs="宋体" w:asciiTheme="minorEastAsia" w:hAnsiTheme="minorEastAsia"/>
                <w:bCs/>
                <w:color w:val="000000"/>
                <w:kern w:val="0"/>
                <w:lang w:bidi="ar"/>
              </w:rPr>
              <w:t>；</w:t>
            </w:r>
          </w:p>
        </w:tc>
      </w:tr>
      <w:tr>
        <w:tblPrEx>
          <w:tblCellMar>
            <w:top w:w="0" w:type="dxa"/>
            <w:left w:w="0" w:type="dxa"/>
            <w:bottom w:w="0" w:type="dxa"/>
            <w:right w:w="0" w:type="dxa"/>
          </w:tblCellMar>
        </w:tblPrEx>
        <w:trPr>
          <w:trHeight w:val="467"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lang w:bidi="ar"/>
              </w:rPr>
            </w:pPr>
            <w:r>
              <w:rPr>
                <w:rFonts w:hint="eastAsia" w:cs="宋体" w:asciiTheme="minorEastAsia" w:hAnsiTheme="minorEastAsia"/>
                <w:bCs/>
                <w:color w:val="000000"/>
                <w:kern w:val="0"/>
                <w:lang w:bidi="ar"/>
              </w:rPr>
              <w:t>性能指标：峰值事件处理能力不低于25000条语句/秒，日志存储不低于16亿条。</w:t>
            </w:r>
          </w:p>
        </w:tc>
      </w:tr>
      <w:tr>
        <w:tblPrEx>
          <w:tblCellMar>
            <w:top w:w="0" w:type="dxa"/>
            <w:left w:w="0" w:type="dxa"/>
            <w:bottom w:w="0" w:type="dxa"/>
            <w:right w:w="0" w:type="dxa"/>
          </w:tblCellMar>
        </w:tblPrEx>
        <w:trPr>
          <w:trHeight w:val="467" w:hRule="atLeast"/>
          <w:jc w:val="center"/>
        </w:trPr>
        <w:tc>
          <w:tcPr>
            <w:tcW w:w="1688" w:type="dxa"/>
            <w:vMerge w:val="restart"/>
            <w:tcBorders>
              <w:top w:val="single" w:color="auto" w:sz="4" w:space="0"/>
              <w:left w:val="single" w:color="auto" w:sz="4" w:space="0"/>
              <w:bottom w:val="nil"/>
              <w:right w:val="single" w:color="auto" w:sz="8"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r>
              <w:rPr>
                <w:rFonts w:hint="eastAsia" w:cs="宋体" w:asciiTheme="minorEastAsia" w:hAnsiTheme="minorEastAsia"/>
                <w:bCs/>
                <w:color w:val="000000"/>
                <w:kern w:val="0"/>
                <w:lang w:bidi="ar"/>
              </w:rPr>
              <w:t>工作模式</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旁路部署方式，对原有网络不造成影响，产品本身的故障不影响被审计系统的正常运行，不得在现有服务器上安装可能带来风险的程序。</w:t>
            </w:r>
          </w:p>
        </w:tc>
      </w:tr>
      <w:tr>
        <w:tblPrEx>
          <w:tblCellMar>
            <w:top w:w="0" w:type="dxa"/>
            <w:left w:w="0" w:type="dxa"/>
            <w:bottom w:w="0" w:type="dxa"/>
            <w:right w:w="0" w:type="dxa"/>
          </w:tblCellMar>
        </w:tblPrEx>
        <w:trPr>
          <w:trHeight w:val="467" w:hRule="atLeast"/>
          <w:jc w:val="center"/>
        </w:trPr>
        <w:tc>
          <w:tcPr>
            <w:tcW w:w="1688" w:type="dxa"/>
            <w:vMerge w:val="continue"/>
            <w:tcBorders>
              <w:top w:val="single" w:color="auto" w:sz="4" w:space="0"/>
              <w:left w:val="single" w:color="auto" w:sz="4" w:space="0"/>
              <w:bottom w:val="nil"/>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shd w:val="clear" w:color="auto" w:fill="FFFFFF"/>
                <w:lang w:bidi="ar"/>
              </w:rPr>
              <w:t>★支持</w:t>
            </w:r>
            <w:r>
              <w:rPr>
                <w:rFonts w:asciiTheme="minorEastAsia" w:hAnsiTheme="minorEastAsia"/>
                <w:lang w:bidi="ar"/>
              </w:rPr>
              <w:t>Agent</w:t>
            </w:r>
            <w:r>
              <w:rPr>
                <w:rFonts w:hint="eastAsia" w:cs="宋体" w:asciiTheme="minorEastAsia" w:hAnsiTheme="minorEastAsia"/>
                <w:lang w:bidi="ar"/>
              </w:rPr>
              <w:t>引流，运行时</w:t>
            </w:r>
            <w:r>
              <w:rPr>
                <w:rFonts w:asciiTheme="minorEastAsia" w:hAnsiTheme="minorEastAsia"/>
                <w:lang w:bidi="ar"/>
              </w:rPr>
              <w:t>CPU</w:t>
            </w:r>
            <w:r>
              <w:rPr>
                <w:rFonts w:hint="eastAsia" w:cs="宋体" w:asciiTheme="minorEastAsia" w:hAnsiTheme="minorEastAsia"/>
                <w:lang w:bidi="ar"/>
              </w:rPr>
              <w:t>占用率低于</w:t>
            </w:r>
            <w:r>
              <w:rPr>
                <w:rFonts w:asciiTheme="minorEastAsia" w:hAnsiTheme="minorEastAsia"/>
                <w:lang w:bidi="ar"/>
              </w:rPr>
              <w:t>3%</w:t>
            </w:r>
            <w:r>
              <w:rPr>
                <w:rFonts w:hint="eastAsia" w:cs="宋体" w:asciiTheme="minorEastAsia" w:hAnsiTheme="minorEastAsia"/>
                <w:lang w:bidi="ar"/>
              </w:rPr>
              <w:t>，内存占用小于</w:t>
            </w:r>
            <w:r>
              <w:rPr>
                <w:rFonts w:asciiTheme="minorEastAsia" w:hAnsiTheme="minorEastAsia"/>
                <w:lang w:bidi="ar"/>
              </w:rPr>
              <w:t>100M</w:t>
            </w:r>
            <w:r>
              <w:rPr>
                <w:rFonts w:hint="eastAsia" w:cs="宋体" w:asciiTheme="minorEastAsia" w:hAnsiTheme="minorEastAsia"/>
                <w:lang w:bidi="ar"/>
              </w:rPr>
              <w:t>，程序文件小于</w:t>
            </w:r>
            <w:r>
              <w:rPr>
                <w:rFonts w:hint="eastAsia" w:asciiTheme="minorEastAsia" w:hAnsiTheme="minorEastAsia"/>
                <w:color w:val="000000" w:themeColor="text1"/>
                <w:lang w:bidi="ar"/>
                <w14:textFill>
                  <w14:solidFill>
                    <w14:schemeClr w14:val="tx1"/>
                  </w14:solidFill>
                </w14:textFill>
              </w:rPr>
              <w:t>5</w:t>
            </w:r>
            <w:r>
              <w:rPr>
                <w:rFonts w:asciiTheme="minorEastAsia" w:hAnsiTheme="minorEastAsia"/>
                <w:color w:val="000000" w:themeColor="text1"/>
                <w:lang w:bidi="ar"/>
                <w14:textFill>
                  <w14:solidFill>
                    <w14:schemeClr w14:val="tx1"/>
                  </w14:solidFill>
                </w14:textFill>
              </w:rPr>
              <w:t>M</w:t>
            </w:r>
            <w:r>
              <w:rPr>
                <w:rFonts w:hint="eastAsia" w:cs="宋体" w:asciiTheme="minorEastAsia" w:hAnsiTheme="minorEastAsia"/>
                <w:color w:val="000000" w:themeColor="text1"/>
                <w:lang w:bidi="ar"/>
                <w14:textFill>
                  <w14:solidFill>
                    <w14:schemeClr w14:val="tx1"/>
                  </w14:solidFill>
                </w14:textFill>
              </w:rPr>
              <w:t>。</w:t>
            </w:r>
          </w:p>
        </w:tc>
      </w:tr>
      <w:tr>
        <w:tblPrEx>
          <w:tblCellMar>
            <w:top w:w="0" w:type="dxa"/>
            <w:left w:w="0" w:type="dxa"/>
            <w:bottom w:w="0" w:type="dxa"/>
            <w:right w:w="0" w:type="dxa"/>
          </w:tblCellMar>
        </w:tblPrEx>
        <w:trPr>
          <w:trHeight w:val="560" w:hRule="atLeast"/>
          <w:jc w:val="center"/>
        </w:trPr>
        <w:tc>
          <w:tcPr>
            <w:tcW w:w="1688" w:type="dxa"/>
            <w:vMerge w:val="restart"/>
            <w:tcBorders>
              <w:top w:val="single" w:color="auto" w:sz="4" w:space="0"/>
              <w:left w:val="single" w:color="auto" w:sz="4" w:space="0"/>
              <w:right w:val="single" w:color="auto" w:sz="8"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r>
              <w:rPr>
                <w:rFonts w:hint="eastAsia" w:cs="宋体" w:asciiTheme="minorEastAsia" w:hAnsiTheme="minorEastAsia"/>
                <w:bCs/>
                <w:color w:val="000000"/>
                <w:kern w:val="0"/>
                <w:lang w:bidi="ar"/>
              </w:rPr>
              <w:t>基本功能</w:t>
            </w: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spacing w:line="360" w:lineRule="auto"/>
              <w:rPr>
                <w:rFonts w:cs="宋体" w:asciiTheme="minorEastAsia" w:hAnsiTheme="minorEastAsia"/>
                <w:bCs/>
                <w:color w:val="FF0000"/>
                <w:kern w:val="0"/>
              </w:rPr>
            </w:pPr>
            <w:r>
              <w:rPr>
                <w:rFonts w:hint="eastAsia" w:cs="宋体" w:asciiTheme="minorEastAsia" w:hAnsiTheme="minorEastAsia"/>
                <w:bCs/>
                <w:kern w:val="0"/>
                <w:lang w:bidi="ar"/>
              </w:rPr>
              <w:t>支持</w:t>
            </w:r>
            <w:r>
              <w:rPr>
                <w:rFonts w:hint="eastAsia" w:cs="宋体" w:asciiTheme="minorEastAsia" w:hAnsiTheme="minorEastAsia"/>
                <w:kern w:val="0"/>
                <w:lang w:bidi="ar"/>
              </w:rPr>
              <w:t>oracle、</w:t>
            </w:r>
            <w:r>
              <w:rPr>
                <w:rFonts w:hint="eastAsia" w:asciiTheme="minorEastAsia" w:hAnsiTheme="minorEastAsia" w:cstheme="minorEastAsia"/>
                <w:shd w:val="clear" w:color="auto" w:fill="FFFFFF"/>
                <w:lang w:bidi="ar"/>
              </w:rPr>
              <w:t>SQL</w:t>
            </w:r>
            <w:r>
              <w:rPr>
                <w:rFonts w:asciiTheme="minorEastAsia" w:hAnsiTheme="minorEastAsia" w:cstheme="minorEastAsia"/>
                <w:shd w:val="clear" w:color="auto" w:fill="FFFFFF"/>
                <w:lang w:bidi="ar"/>
              </w:rPr>
              <w:t xml:space="preserve"> </w:t>
            </w:r>
            <w:r>
              <w:rPr>
                <w:rFonts w:hint="eastAsia" w:asciiTheme="minorEastAsia" w:hAnsiTheme="minorEastAsia" w:cstheme="minorEastAsia"/>
                <w:shd w:val="clear" w:color="auto" w:fill="FFFFFF"/>
                <w:lang w:bidi="ar"/>
              </w:rPr>
              <w:t>Server</w:t>
            </w:r>
            <w:r>
              <w:rPr>
                <w:rFonts w:hint="eastAsia" w:cs="宋体" w:asciiTheme="minorEastAsia" w:hAnsiTheme="minorEastAsia"/>
                <w:kern w:val="0"/>
                <w:lang w:bidi="ar"/>
              </w:rPr>
              <w:t>、Mysql、DB2、postaresql 、</w:t>
            </w:r>
            <w:r>
              <w:rPr>
                <w:rFonts w:hint="eastAsia" w:asciiTheme="minorEastAsia" w:hAnsiTheme="minorEastAsia" w:cstheme="minorEastAsia"/>
                <w:shd w:val="clear" w:color="auto" w:fill="FFFFFF"/>
                <w:lang w:bidi="ar"/>
              </w:rPr>
              <w:t>Caché</w:t>
            </w:r>
            <w:r>
              <w:rPr>
                <w:rFonts w:hint="eastAsia" w:cs="宋体" w:asciiTheme="minorEastAsia" w:hAnsiTheme="minorEastAsia"/>
                <w:kern w:val="0"/>
                <w:lang w:bidi="ar"/>
              </w:rPr>
              <w:t>、Portal、DM、informix、Kingbase、LibrA、神通、南大通用、Samba</w:t>
            </w:r>
            <w:r>
              <w:rPr>
                <w:rFonts w:hint="eastAsia" w:cs="宋体" w:asciiTheme="minorEastAsia" w:hAnsiTheme="minorEastAsia"/>
                <w:bCs/>
                <w:kern w:val="0"/>
                <w:lang w:bidi="ar"/>
              </w:rPr>
              <w:t>等数据库的审计，且支持多种不同的数据库同时审计。</w:t>
            </w:r>
          </w:p>
        </w:tc>
      </w:tr>
      <w:tr>
        <w:tblPrEx>
          <w:tblCellMar>
            <w:top w:w="0" w:type="dxa"/>
            <w:left w:w="0" w:type="dxa"/>
            <w:bottom w:w="0" w:type="dxa"/>
            <w:right w:w="0" w:type="dxa"/>
          </w:tblCellMar>
        </w:tblPrEx>
        <w:trPr>
          <w:trHeight w:val="560" w:hRule="atLeast"/>
          <w:jc w:val="center"/>
        </w:trPr>
        <w:tc>
          <w:tcPr>
            <w:tcW w:w="1688" w:type="dxa"/>
            <w:vMerge w:val="continue"/>
            <w:tcBorders>
              <w:left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kern w:val="0"/>
              </w:rPr>
            </w:pPr>
            <w:r>
              <w:rPr>
                <w:rFonts w:hint="eastAsia" w:cs="宋体" w:asciiTheme="minorEastAsia" w:hAnsiTheme="minorEastAsia"/>
                <w:bCs/>
                <w:kern w:val="0"/>
                <w:lang w:bidi="ar"/>
              </w:rPr>
              <w:t>系统支持杭创、键讯、金蝶慧通、用友、中联、阳光用药、天健、厦门智业、科进、中天、天网、方正、东华、金仕达、东软、键讯、陕西医星、长城、广州力锦等his中间件审计。</w:t>
            </w:r>
          </w:p>
        </w:tc>
      </w:tr>
      <w:tr>
        <w:tblPrEx>
          <w:tblCellMar>
            <w:top w:w="0" w:type="dxa"/>
            <w:left w:w="0" w:type="dxa"/>
            <w:bottom w:w="0" w:type="dxa"/>
            <w:right w:w="0" w:type="dxa"/>
          </w:tblCellMar>
        </w:tblPrEx>
        <w:trPr>
          <w:trHeight w:val="560" w:hRule="atLeast"/>
          <w:jc w:val="center"/>
        </w:trPr>
        <w:tc>
          <w:tcPr>
            <w:tcW w:w="1688" w:type="dxa"/>
            <w:vMerge w:val="continue"/>
            <w:tcBorders>
              <w:left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系统包括审计引擎及管理后台软件、策略管理、告警管理、权限管理、系统日志、系统配置等功能，审计数据统一存储、查询、分析、统计。</w:t>
            </w:r>
          </w:p>
        </w:tc>
      </w:tr>
      <w:tr>
        <w:tblPrEx>
          <w:tblCellMar>
            <w:top w:w="0" w:type="dxa"/>
            <w:left w:w="0" w:type="dxa"/>
            <w:bottom w:w="0" w:type="dxa"/>
            <w:right w:w="0" w:type="dxa"/>
          </w:tblCellMar>
        </w:tblPrEx>
        <w:trPr>
          <w:trHeight w:val="560" w:hRule="atLeast"/>
          <w:jc w:val="center"/>
        </w:trPr>
        <w:tc>
          <w:tcPr>
            <w:tcW w:w="1688" w:type="dxa"/>
            <w:vMerge w:val="continue"/>
            <w:tcBorders>
              <w:left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★系统内置有多级缓存机制，能够实现超出总容量的30%时支持时间不低于2小时，有多级物理存贮机制；</w:t>
            </w:r>
            <w:r>
              <w:rPr>
                <w:rFonts w:hint="eastAsia" w:cs="宋体" w:asciiTheme="minorEastAsia" w:hAnsiTheme="minorEastAsia"/>
                <w:bCs/>
                <w:kern w:val="0"/>
                <w:lang w:bidi="ar"/>
              </w:rPr>
              <w:t>（</w:t>
            </w:r>
            <w:r>
              <w:rPr>
                <w:rFonts w:hint="eastAsia" w:cs="宋体" w:asciiTheme="minorEastAsia" w:hAnsiTheme="minorEastAsia"/>
                <w:lang w:bidi="ar"/>
              </w:rPr>
              <w:t>需提供原理性证明文件）</w:t>
            </w:r>
            <w:r>
              <w:rPr>
                <w:rFonts w:cs="宋体" w:asciiTheme="minorEastAsia" w:hAnsiTheme="minorEastAsia"/>
                <w:bCs/>
                <w:color w:val="000000"/>
                <w:kern w:val="0"/>
              </w:rPr>
              <w:t xml:space="preserve"> </w:t>
            </w:r>
          </w:p>
        </w:tc>
      </w:tr>
      <w:tr>
        <w:tblPrEx>
          <w:tblCellMar>
            <w:top w:w="0" w:type="dxa"/>
            <w:left w:w="0" w:type="dxa"/>
            <w:bottom w:w="0" w:type="dxa"/>
            <w:right w:w="0" w:type="dxa"/>
          </w:tblCellMar>
        </w:tblPrEx>
        <w:trPr>
          <w:trHeight w:val="560" w:hRule="atLeast"/>
          <w:jc w:val="center"/>
        </w:trPr>
        <w:tc>
          <w:tcPr>
            <w:tcW w:w="1688" w:type="dxa"/>
            <w:vMerge w:val="continue"/>
            <w:tcBorders>
              <w:left w:val="single" w:color="auto" w:sz="4" w:space="0"/>
              <w:bottom w:val="nil"/>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lang w:bidi="ar"/>
              </w:rPr>
            </w:pPr>
            <w:r>
              <w:rPr>
                <w:rFonts w:hint="eastAsia" w:cs="宋体" w:asciiTheme="minorEastAsia" w:hAnsiTheme="minorEastAsia"/>
                <w:bCs/>
                <w:color w:val="000000"/>
                <w:kern w:val="0"/>
                <w:lang w:bidi="ar"/>
              </w:rPr>
              <w:t>★系统应支持多层过滤功能，支持网络流量驱动级过滤，根据过滤的条件（如源地址IP/目的地址IP）定义规则，对网络流量进行扫描，对无用的信息从网络层进行过滤；根据系统语句（SQL语句）和白名单（条件为IP/MAC/数据库账户/审计对象/操作语句）定义规则进行应用层过滤，将客户关注的信息进行保留，避免无用信息的堆砌造成磁盘空间的浪费和性能的耗损；</w:t>
            </w:r>
            <w:r>
              <w:rPr>
                <w:rFonts w:hint="eastAsia" w:cs="宋体" w:asciiTheme="minorEastAsia" w:hAnsiTheme="minorEastAsia"/>
                <w:bCs/>
                <w:kern w:val="0"/>
                <w:lang w:bidi="ar"/>
              </w:rPr>
              <w:t>（</w:t>
            </w:r>
            <w:r>
              <w:rPr>
                <w:rFonts w:hint="eastAsia" w:cs="宋体" w:asciiTheme="minorEastAsia" w:hAnsiTheme="minorEastAsia"/>
                <w:lang w:bidi="ar"/>
              </w:rPr>
              <w:t>提供截图并加盖公章）</w:t>
            </w:r>
          </w:p>
        </w:tc>
      </w:tr>
      <w:tr>
        <w:tblPrEx>
          <w:tblCellMar>
            <w:top w:w="0" w:type="dxa"/>
            <w:left w:w="0" w:type="dxa"/>
            <w:bottom w:w="0" w:type="dxa"/>
            <w:right w:w="0" w:type="dxa"/>
          </w:tblCellMar>
        </w:tblPrEx>
        <w:trPr>
          <w:trHeight w:val="556" w:hRule="atLeast"/>
          <w:jc w:val="center"/>
        </w:trPr>
        <w:tc>
          <w:tcPr>
            <w:tcW w:w="1688" w:type="dxa"/>
            <w:vMerge w:val="restart"/>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rPr>
                <w:rFonts w:asciiTheme="minorEastAsia" w:hAnsiTheme="minorEastAsia"/>
                <w:color w:val="000000"/>
              </w:rPr>
            </w:pPr>
            <w:r>
              <w:rPr>
                <w:rFonts w:hint="eastAsia" w:cs="宋体" w:asciiTheme="minorEastAsia" w:hAnsiTheme="minorEastAsia"/>
                <w:color w:val="000000"/>
                <w:kern w:val="0"/>
                <w:lang w:bidi="ar"/>
              </w:rPr>
              <w:t>防统方审计能力</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★全面支持后关系型数据库Cache的集成工具Terminal、Portal、Studio、Sqlmanager、MedTrak工具的审计，其中Portal能审计到Sql语句、查询Global有返回结果，Sqlmanager支持</w:t>
            </w:r>
            <w:r>
              <w:rPr>
                <w:rFonts w:cs="宋体" w:asciiTheme="minorEastAsia" w:hAnsiTheme="minorEastAsia"/>
                <w:bCs/>
                <w:color w:val="000000"/>
                <w:kern w:val="0"/>
                <w:lang w:bidi="ar"/>
              </w:rPr>
              <w:t>根据</w:t>
            </w:r>
            <w:r>
              <w:rPr>
                <w:rFonts w:hint="eastAsia" w:cs="宋体" w:asciiTheme="minorEastAsia" w:hAnsiTheme="minorEastAsia"/>
                <w:bCs/>
                <w:color w:val="000000"/>
                <w:kern w:val="0"/>
                <w:lang w:bidi="ar"/>
              </w:rPr>
              <w:t>SQL ID提取高效</w:t>
            </w:r>
            <w:r>
              <w:rPr>
                <w:rFonts w:cs="宋体" w:asciiTheme="minorEastAsia" w:hAnsiTheme="minorEastAsia"/>
                <w:bCs/>
                <w:color w:val="000000"/>
                <w:kern w:val="0"/>
                <w:lang w:bidi="ar"/>
              </w:rPr>
              <w:t xml:space="preserve">审计， </w:t>
            </w:r>
            <w:r>
              <w:rPr>
                <w:rFonts w:hint="eastAsia" w:cs="宋体" w:asciiTheme="minorEastAsia" w:hAnsiTheme="minorEastAsia"/>
                <w:bCs/>
                <w:color w:val="000000"/>
                <w:kern w:val="0"/>
                <w:lang w:bidi="ar"/>
              </w:rPr>
              <w:t>Terminal能审计到SQL语句和返回结果,并</w:t>
            </w:r>
            <w:r>
              <w:rPr>
                <w:rFonts w:cs="宋体" w:asciiTheme="minorEastAsia" w:hAnsiTheme="minorEastAsia"/>
                <w:bCs/>
                <w:color w:val="000000"/>
                <w:kern w:val="0"/>
                <w:lang w:bidi="ar"/>
              </w:rPr>
              <w:t>支持本地审计</w:t>
            </w:r>
            <w:r>
              <w:rPr>
                <w:rFonts w:hint="eastAsia" w:cs="宋体" w:asciiTheme="minorEastAsia" w:hAnsiTheme="minorEastAsia"/>
                <w:bCs/>
                <w:color w:val="000000"/>
                <w:kern w:val="0"/>
                <w:lang w:bidi="ar"/>
              </w:rPr>
              <w:t>，基于C/S的MedTrak工具能审计到操作报表的具体返回结果；</w:t>
            </w:r>
            <w:r>
              <w:rPr>
                <w:rFonts w:hint="eastAsia" w:cs="宋体" w:asciiTheme="minorEastAsia" w:hAnsiTheme="minorEastAsia"/>
                <w:bCs/>
                <w:kern w:val="0"/>
                <w:lang w:bidi="ar"/>
              </w:rPr>
              <w:t>（</w:t>
            </w:r>
            <w:r>
              <w:rPr>
                <w:rFonts w:hint="eastAsia" w:cs="宋体" w:asciiTheme="minorEastAsia" w:hAnsiTheme="minorEastAsia"/>
                <w:lang w:bidi="ar"/>
              </w:rPr>
              <w:t>提供截图并加盖公章）</w:t>
            </w:r>
          </w:p>
        </w:tc>
      </w:tr>
      <w:tr>
        <w:tblPrEx>
          <w:tblCellMar>
            <w:top w:w="0" w:type="dxa"/>
            <w:left w:w="0" w:type="dxa"/>
            <w:bottom w:w="0" w:type="dxa"/>
            <w:right w:w="0" w:type="dxa"/>
          </w:tblCellMar>
        </w:tblPrEx>
        <w:trPr>
          <w:trHeight w:val="411"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支持超长操作语句审计，针对传统型数据库，支持3万字节审计而不截断；</w:t>
            </w:r>
          </w:p>
        </w:tc>
      </w:tr>
      <w:tr>
        <w:tblPrEx>
          <w:tblCellMar>
            <w:top w:w="0" w:type="dxa"/>
            <w:left w:w="0" w:type="dxa"/>
            <w:bottom w:w="0" w:type="dxa"/>
            <w:right w:w="0" w:type="dxa"/>
          </w:tblCellMar>
        </w:tblPrEx>
        <w:trPr>
          <w:trHeight w:val="524"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支持对执行时间超过6小时操作的审计。</w:t>
            </w:r>
          </w:p>
        </w:tc>
      </w:tr>
      <w:tr>
        <w:tblPrEx>
          <w:tblCellMar>
            <w:top w:w="0" w:type="dxa"/>
            <w:left w:w="0" w:type="dxa"/>
            <w:bottom w:w="0" w:type="dxa"/>
            <w:right w:w="0" w:type="dxa"/>
          </w:tblCellMar>
        </w:tblPrEx>
        <w:trPr>
          <w:trHeight w:val="896" w:hRule="atLeast"/>
          <w:jc w:val="center"/>
        </w:trPr>
        <w:tc>
          <w:tcPr>
            <w:tcW w:w="1688" w:type="dxa"/>
            <w:vMerge w:val="restart"/>
            <w:tcBorders>
              <w:top w:val="single" w:color="auto" w:sz="4" w:space="0"/>
              <w:left w:val="single" w:color="auto" w:sz="4" w:space="0"/>
              <w:right w:val="single" w:color="auto" w:sz="8"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r>
              <w:rPr>
                <w:rFonts w:hint="eastAsia" w:cs="宋体" w:asciiTheme="minorEastAsia" w:hAnsiTheme="minorEastAsia"/>
                <w:color w:val="000000"/>
                <w:kern w:val="0"/>
                <w:lang w:bidi="ar"/>
              </w:rPr>
              <w:t>应用审计能力</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★支持B/S、C/S应用系统三层架构http应用审计，可提取包括应用系统的人员工号（账号）在内的“六元组”身份信息，精确定位到人，并可获取XML返回结果；</w:t>
            </w:r>
            <w:r>
              <w:rPr>
                <w:rFonts w:hint="eastAsia" w:cs="宋体" w:asciiTheme="minorEastAsia" w:hAnsiTheme="minorEastAsia"/>
                <w:bCs/>
                <w:kern w:val="0"/>
                <w:lang w:bidi="ar"/>
              </w:rPr>
              <w:t>（</w:t>
            </w:r>
            <w:r>
              <w:rPr>
                <w:rFonts w:hint="eastAsia" w:cs="宋体" w:asciiTheme="minorEastAsia" w:hAnsiTheme="minorEastAsia"/>
                <w:lang w:bidi="ar"/>
              </w:rPr>
              <w:t>提供截图并加盖公章）</w:t>
            </w:r>
          </w:p>
        </w:tc>
      </w:tr>
      <w:tr>
        <w:tblPrEx>
          <w:tblCellMar>
            <w:top w:w="0" w:type="dxa"/>
            <w:left w:w="0" w:type="dxa"/>
            <w:bottom w:w="0" w:type="dxa"/>
            <w:right w:w="0" w:type="dxa"/>
          </w:tblCellMar>
        </w:tblPrEx>
        <w:trPr>
          <w:trHeight w:val="524" w:hRule="atLeast"/>
          <w:jc w:val="center"/>
        </w:trPr>
        <w:tc>
          <w:tcPr>
            <w:tcW w:w="1688" w:type="dxa"/>
            <w:vMerge w:val="continue"/>
            <w:tcBorders>
              <w:left w:val="single" w:color="auto" w:sz="4" w:space="0"/>
              <w:bottom w:val="nil"/>
              <w:right w:val="single" w:color="auto" w:sz="8"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★支持带COM、COM+、DCOM组件的三层架构应用审计，可提取包括应用层工号（账号）之内的“六元组”身份信息，精确定位到人；</w:t>
            </w:r>
            <w:r>
              <w:rPr>
                <w:rFonts w:hint="eastAsia" w:cs="宋体" w:asciiTheme="minorEastAsia" w:hAnsiTheme="minorEastAsia"/>
                <w:bCs/>
                <w:kern w:val="0"/>
                <w:lang w:bidi="ar"/>
              </w:rPr>
              <w:t>（</w:t>
            </w:r>
            <w:r>
              <w:rPr>
                <w:rFonts w:hint="eastAsia" w:cs="宋体" w:asciiTheme="minorEastAsia" w:hAnsiTheme="minorEastAsia"/>
                <w:lang w:bidi="ar"/>
              </w:rPr>
              <w:t>提供截图并加盖公章）</w:t>
            </w:r>
          </w:p>
        </w:tc>
      </w:tr>
      <w:tr>
        <w:tblPrEx>
          <w:tblCellMar>
            <w:top w:w="0" w:type="dxa"/>
            <w:left w:w="0" w:type="dxa"/>
            <w:bottom w:w="0" w:type="dxa"/>
            <w:right w:w="0" w:type="dxa"/>
          </w:tblCellMar>
        </w:tblPrEx>
        <w:trPr>
          <w:trHeight w:val="390" w:hRule="atLeast"/>
          <w:jc w:val="center"/>
        </w:trPr>
        <w:tc>
          <w:tcPr>
            <w:tcW w:w="1688" w:type="dxa"/>
            <w:vMerge w:val="restart"/>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rPr>
                <w:rFonts w:asciiTheme="minorEastAsia" w:hAnsiTheme="minorEastAsia"/>
                <w:color w:val="000000"/>
              </w:rPr>
            </w:pPr>
            <w:r>
              <w:rPr>
                <w:rFonts w:hint="eastAsia" w:cs="宋体" w:asciiTheme="minorEastAsia" w:hAnsiTheme="minorEastAsia"/>
                <w:color w:val="000000"/>
                <w:kern w:val="0"/>
                <w:lang w:bidi="ar"/>
              </w:rPr>
              <w:t>防统方策略支持</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系统自带各种常见HIS防统方规则库，且规则数量≥500条以上，支持自定义防统方规则；</w:t>
            </w:r>
            <w:r>
              <w:rPr>
                <w:rFonts w:cs="宋体" w:asciiTheme="minorEastAsia" w:hAnsiTheme="minorEastAsia"/>
                <w:bCs/>
                <w:color w:val="000000"/>
                <w:kern w:val="0"/>
              </w:rPr>
              <w:t xml:space="preserve"> </w:t>
            </w:r>
          </w:p>
        </w:tc>
      </w:tr>
      <w:tr>
        <w:tblPrEx>
          <w:tblCellMar>
            <w:top w:w="0" w:type="dxa"/>
            <w:left w:w="0" w:type="dxa"/>
            <w:bottom w:w="0" w:type="dxa"/>
            <w:right w:w="0" w:type="dxa"/>
          </w:tblCellMar>
        </w:tblPrEx>
        <w:trPr>
          <w:trHeight w:val="572"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防统方策略支持18种以上审计</w:t>
            </w:r>
            <w:r>
              <w:rPr>
                <w:rFonts w:cs="宋体" w:asciiTheme="minorEastAsia" w:hAnsiTheme="minorEastAsia"/>
                <w:bCs/>
                <w:color w:val="000000"/>
                <w:kern w:val="0"/>
                <w:lang w:bidi="ar"/>
              </w:rPr>
              <w:t>元素</w:t>
            </w:r>
            <w:r>
              <w:rPr>
                <w:rFonts w:hint="eastAsia" w:cs="宋体" w:asciiTheme="minorEastAsia" w:hAnsiTheme="minorEastAsia"/>
                <w:bCs/>
                <w:color w:val="000000"/>
                <w:kern w:val="0"/>
                <w:lang w:bidi="ar"/>
              </w:rPr>
              <w:t>，可支持数据库操作命令、语句长度、语句执行回应、语句执行时间、返回内容、返回行数、数据库名、数据库账户、服务器端口、客户端操作系统主机名、客户端操作系统用户名、客户端MAC、客户端IP、客户端端口、客户端进程名、会话ID、关键字、时间等；</w:t>
            </w:r>
          </w:p>
        </w:tc>
      </w:tr>
      <w:tr>
        <w:tblPrEx>
          <w:tblCellMar>
            <w:top w:w="0" w:type="dxa"/>
            <w:left w:w="0" w:type="dxa"/>
            <w:bottom w:w="0" w:type="dxa"/>
            <w:right w:w="0" w:type="dxa"/>
          </w:tblCellMar>
        </w:tblPrEx>
        <w:trPr>
          <w:trHeight w:val="572"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lang w:bidi="ar"/>
              </w:rPr>
            </w:pPr>
            <w:r>
              <w:rPr>
                <w:rFonts w:hint="eastAsia" w:cs="宋体" w:asciiTheme="minorEastAsia" w:hAnsiTheme="minorEastAsia"/>
                <w:bCs/>
                <w:color w:val="000000"/>
                <w:kern w:val="0"/>
                <w:lang w:bidi="ar"/>
              </w:rPr>
              <w:t>支持操作语句系列的组合规则，可根据某一客体的操作行为序列，连续操作了设定的语句序列时进行规则审计告警。</w:t>
            </w:r>
          </w:p>
        </w:tc>
      </w:tr>
      <w:tr>
        <w:tblPrEx>
          <w:tblCellMar>
            <w:top w:w="0" w:type="dxa"/>
            <w:left w:w="0" w:type="dxa"/>
            <w:bottom w:w="0" w:type="dxa"/>
            <w:right w:w="0" w:type="dxa"/>
          </w:tblCellMar>
        </w:tblPrEx>
        <w:trPr>
          <w:trHeight w:val="572"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lang w:bidi="ar"/>
              </w:rPr>
            </w:pPr>
            <w:r>
              <w:rPr>
                <w:rFonts w:hint="eastAsia" w:cs="宋体" w:asciiTheme="minorEastAsia" w:hAnsiTheme="minorEastAsia"/>
                <w:bCs/>
                <w:color w:val="000000"/>
                <w:kern w:val="0"/>
                <w:lang w:bidi="ar"/>
              </w:rPr>
              <w:t>支持重复操作的统计审计规则，可根据在一定的时间内，重复某项操作达到设定的统计次数并进行告警。</w:t>
            </w:r>
          </w:p>
        </w:tc>
      </w:tr>
      <w:tr>
        <w:tblPrEx>
          <w:tblCellMar>
            <w:top w:w="0" w:type="dxa"/>
            <w:left w:w="0" w:type="dxa"/>
            <w:bottom w:w="0" w:type="dxa"/>
            <w:right w:w="0" w:type="dxa"/>
          </w:tblCellMar>
        </w:tblPrEx>
        <w:trPr>
          <w:trHeight w:val="426"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提供系统漏包告警、网络和网卡异常、磁盘存储容量不足等情况时的自动报警提醒；</w:t>
            </w:r>
          </w:p>
        </w:tc>
      </w:tr>
      <w:tr>
        <w:tblPrEx>
          <w:tblCellMar>
            <w:top w:w="0" w:type="dxa"/>
            <w:left w:w="0" w:type="dxa"/>
            <w:bottom w:w="0" w:type="dxa"/>
            <w:right w:w="0" w:type="dxa"/>
          </w:tblCellMar>
        </w:tblPrEx>
        <w:trPr>
          <w:trHeight w:val="398"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系统支持管理界面告警、Syslog和SNMP trap告警、邮件和短信告警</w:t>
            </w:r>
          </w:p>
        </w:tc>
      </w:tr>
      <w:tr>
        <w:tblPrEx>
          <w:tblCellMar>
            <w:top w:w="0" w:type="dxa"/>
            <w:left w:w="0" w:type="dxa"/>
            <w:bottom w:w="0" w:type="dxa"/>
            <w:right w:w="0" w:type="dxa"/>
          </w:tblCellMar>
        </w:tblPrEx>
        <w:trPr>
          <w:trHeight w:val="20" w:hRule="atLeast"/>
          <w:jc w:val="center"/>
        </w:trPr>
        <w:tc>
          <w:tcPr>
            <w:tcW w:w="1688" w:type="dxa"/>
            <w:vMerge w:val="restart"/>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rPr>
                <w:rFonts w:asciiTheme="minorEastAsia" w:hAnsiTheme="minorEastAsia"/>
                <w:color w:val="000000"/>
              </w:rPr>
            </w:pPr>
            <w:r>
              <w:rPr>
                <w:rFonts w:hint="eastAsia" w:cs="宋体" w:asciiTheme="minorEastAsia" w:hAnsiTheme="minorEastAsia"/>
                <w:color w:val="000000"/>
                <w:kern w:val="0"/>
                <w:lang w:bidi="ar"/>
              </w:rPr>
              <w:t>事件查询统计</w:t>
            </w: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告警检索效率高达亿条数据分钟级，搜索条件支持全范围搜索（特别要求在超过亿条数据量时），一次性完成搜索的响应时间在分钟级别；</w:t>
            </w:r>
          </w:p>
        </w:tc>
      </w:tr>
      <w:tr>
        <w:tblPrEx>
          <w:tblCellMar>
            <w:top w:w="0" w:type="dxa"/>
            <w:left w:w="0" w:type="dxa"/>
            <w:bottom w:w="0" w:type="dxa"/>
            <w:right w:w="0" w:type="dxa"/>
          </w:tblCellMar>
        </w:tblPrEx>
        <w:trPr>
          <w:trHeight w:val="274"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spacing w:line="360" w:lineRule="auto"/>
              <w:rPr>
                <w:rFonts w:cs="宋体" w:asciiTheme="minorEastAsia" w:hAnsiTheme="minorEastAsia"/>
                <w:bCs/>
                <w:color w:val="000000"/>
                <w:kern w:val="0"/>
              </w:rPr>
            </w:pPr>
            <w:r>
              <w:rPr>
                <w:rFonts w:hint="eastAsia" w:cs="宋体" w:asciiTheme="minorEastAsia" w:hAnsiTheme="minorEastAsia"/>
                <w:lang w:bidi="ar"/>
              </w:rPr>
              <w:t>内置用户登录情况、用户访问情况、</w:t>
            </w:r>
            <w:r>
              <w:rPr>
                <w:rFonts w:asciiTheme="minorEastAsia" w:hAnsiTheme="minorEastAsia"/>
                <w:lang w:bidi="ar"/>
              </w:rPr>
              <w:t>IP</w:t>
            </w:r>
            <w:r>
              <w:rPr>
                <w:rFonts w:hint="eastAsia" w:cs="宋体" w:asciiTheme="minorEastAsia" w:hAnsiTheme="minorEastAsia"/>
                <w:lang w:bidi="ar"/>
              </w:rPr>
              <w:t>访问情况、风险统计情况、统方事件报表，并支持自定义报表，支持</w:t>
            </w:r>
            <w:r>
              <w:rPr>
                <w:rFonts w:asciiTheme="minorEastAsia" w:hAnsiTheme="minorEastAsia"/>
                <w:lang w:bidi="ar"/>
              </w:rPr>
              <w:t>Word</w:t>
            </w:r>
            <w:r>
              <w:rPr>
                <w:rFonts w:hint="eastAsia" w:cs="宋体" w:asciiTheme="minorEastAsia" w:hAnsiTheme="minorEastAsia"/>
                <w:lang w:bidi="ar"/>
              </w:rPr>
              <w:t>、</w:t>
            </w:r>
            <w:r>
              <w:rPr>
                <w:rFonts w:asciiTheme="minorEastAsia" w:hAnsiTheme="minorEastAsia"/>
                <w:lang w:bidi="ar"/>
              </w:rPr>
              <w:t>PDF</w:t>
            </w:r>
            <w:r>
              <w:rPr>
                <w:rFonts w:hint="eastAsia" w:cs="宋体" w:asciiTheme="minorEastAsia" w:hAnsiTheme="minorEastAsia"/>
                <w:lang w:bidi="ar"/>
              </w:rPr>
              <w:t>、</w:t>
            </w:r>
            <w:r>
              <w:rPr>
                <w:rFonts w:asciiTheme="minorEastAsia" w:hAnsiTheme="minorEastAsia"/>
                <w:lang w:bidi="ar"/>
              </w:rPr>
              <w:t>Excel</w:t>
            </w:r>
            <w:r>
              <w:rPr>
                <w:rFonts w:hint="eastAsia" w:cs="宋体" w:asciiTheme="minorEastAsia" w:hAnsiTheme="minorEastAsia"/>
                <w:lang w:bidi="ar"/>
              </w:rPr>
              <w:t>格式导出报表；</w:t>
            </w:r>
          </w:p>
        </w:tc>
      </w:tr>
      <w:tr>
        <w:tblPrEx>
          <w:tblCellMar>
            <w:top w:w="0" w:type="dxa"/>
            <w:left w:w="0" w:type="dxa"/>
            <w:bottom w:w="0" w:type="dxa"/>
            <w:right w:w="0" w:type="dxa"/>
          </w:tblCellMar>
        </w:tblPrEx>
        <w:trPr>
          <w:trHeight w:val="526"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支持对可疑监控对象的操作语句进行会</w:t>
            </w:r>
            <w:r>
              <w:rPr>
                <w:rFonts w:cs="宋体" w:asciiTheme="minorEastAsia" w:hAnsiTheme="minorEastAsia"/>
                <w:bCs/>
                <w:color w:val="000000"/>
                <w:kern w:val="0"/>
                <w:lang w:bidi="ar"/>
              </w:rPr>
              <w:t>话级</w:t>
            </w:r>
            <w:r>
              <w:rPr>
                <w:rFonts w:hint="eastAsia" w:cs="宋体" w:asciiTheme="minorEastAsia" w:hAnsiTheme="minorEastAsia"/>
                <w:bCs/>
                <w:color w:val="000000"/>
                <w:kern w:val="0"/>
                <w:lang w:bidi="ar"/>
              </w:rPr>
              <w:t>的</w:t>
            </w:r>
            <w:r>
              <w:rPr>
                <w:rFonts w:cs="宋体" w:asciiTheme="minorEastAsia" w:hAnsiTheme="minorEastAsia"/>
                <w:bCs/>
                <w:color w:val="000000"/>
                <w:kern w:val="0"/>
                <w:lang w:bidi="ar"/>
              </w:rPr>
              <w:t>事件</w:t>
            </w:r>
            <w:r>
              <w:rPr>
                <w:rFonts w:hint="eastAsia" w:cs="宋体" w:asciiTheme="minorEastAsia" w:hAnsiTheme="minorEastAsia"/>
                <w:bCs/>
                <w:color w:val="000000"/>
                <w:kern w:val="0"/>
                <w:lang w:bidi="ar"/>
              </w:rPr>
              <w:t>回放，回放时间可达</w:t>
            </w:r>
            <w:r>
              <w:rPr>
                <w:rFonts w:cs="宋体" w:asciiTheme="minorEastAsia" w:hAnsiTheme="minorEastAsia"/>
                <w:bCs/>
                <w:color w:val="000000"/>
                <w:kern w:val="0"/>
                <w:lang w:bidi="ar"/>
              </w:rPr>
              <w:t>前后</w:t>
            </w:r>
            <w:r>
              <w:rPr>
                <w:rFonts w:hint="eastAsia" w:cs="宋体" w:asciiTheme="minorEastAsia" w:hAnsiTheme="minorEastAsia"/>
                <w:bCs/>
                <w:color w:val="000000"/>
                <w:kern w:val="0"/>
                <w:lang w:bidi="ar"/>
              </w:rPr>
              <w:t>60分钟，方便风险及</w:t>
            </w:r>
            <w:r>
              <w:rPr>
                <w:rFonts w:cs="宋体" w:asciiTheme="minorEastAsia" w:hAnsiTheme="minorEastAsia"/>
                <w:bCs/>
                <w:color w:val="000000"/>
                <w:kern w:val="0"/>
                <w:lang w:bidi="ar"/>
              </w:rPr>
              <w:t>违规操作的</w:t>
            </w:r>
            <w:r>
              <w:rPr>
                <w:rFonts w:hint="eastAsia" w:cs="宋体" w:asciiTheme="minorEastAsia" w:hAnsiTheme="minorEastAsia"/>
                <w:bCs/>
                <w:color w:val="000000"/>
                <w:kern w:val="0"/>
                <w:lang w:bidi="ar"/>
              </w:rPr>
              <w:t>追溯；</w:t>
            </w:r>
            <w:r>
              <w:rPr>
                <w:rFonts w:cs="宋体" w:asciiTheme="minorEastAsia" w:hAnsiTheme="minorEastAsia"/>
                <w:bCs/>
                <w:color w:val="000000"/>
                <w:kern w:val="0"/>
              </w:rPr>
              <w:t xml:space="preserve"> </w:t>
            </w:r>
          </w:p>
        </w:tc>
      </w:tr>
      <w:tr>
        <w:tblPrEx>
          <w:tblCellMar>
            <w:top w:w="0" w:type="dxa"/>
            <w:left w:w="0" w:type="dxa"/>
            <w:bottom w:w="0" w:type="dxa"/>
            <w:right w:w="0" w:type="dxa"/>
          </w:tblCellMar>
        </w:tblPrEx>
        <w:trPr>
          <w:trHeight w:val="828"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三</w:t>
            </w:r>
            <w:r>
              <w:rPr>
                <w:rFonts w:hint="eastAsia" w:asciiTheme="minorEastAsia" w:hAnsiTheme="minorEastAsia" w:cstheme="minorEastAsia"/>
                <w:kern w:val="0"/>
                <w:lang w:bidi="ar"/>
              </w:rPr>
              <w:t>权分立：提供管理员权限设置和分权管理，纪委监测用户、系统管理用户、安全规则管理用户权限分开，相应权限的用户只能查看、管理相应的功能，责任明确；</w:t>
            </w:r>
          </w:p>
        </w:tc>
      </w:tr>
      <w:tr>
        <w:tblPrEx>
          <w:tblCellMar>
            <w:top w:w="0" w:type="dxa"/>
            <w:left w:w="0" w:type="dxa"/>
            <w:bottom w:w="0" w:type="dxa"/>
            <w:right w:w="0" w:type="dxa"/>
          </w:tblCellMar>
        </w:tblPrEx>
        <w:trPr>
          <w:trHeight w:val="828"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系统支持对所有数据库审计系统管理人员的操作行为进行审计记录，如登审计系统系统管理人员的登录登出、规则修改、规则启用等，并由审计人员进行查询和审计，具有自身审计功能；</w:t>
            </w:r>
          </w:p>
        </w:tc>
      </w:tr>
      <w:tr>
        <w:tblPrEx>
          <w:tblCellMar>
            <w:top w:w="0" w:type="dxa"/>
            <w:left w:w="0" w:type="dxa"/>
            <w:bottom w:w="0" w:type="dxa"/>
            <w:right w:w="0" w:type="dxa"/>
          </w:tblCellMar>
        </w:tblPrEx>
        <w:trPr>
          <w:trHeight w:val="689"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lang w:bidi="ar"/>
              </w:rPr>
            </w:pPr>
            <w:r>
              <w:rPr>
                <w:rFonts w:hint="eastAsia" w:cs="宋体" w:asciiTheme="minorEastAsia" w:hAnsiTheme="minorEastAsia"/>
                <w:bCs/>
                <w:color w:val="000000"/>
                <w:kern w:val="0"/>
                <w:lang w:bidi="ar"/>
              </w:rPr>
              <w:t>★支持系统管理人员异常操作监控，可按需选择需要告警的操作类别，未开启的操作类别不会发生告警。可以看到具体的告警日志信息，同时支持指定查询某时间段和某类型的告警日志查询。</w:t>
            </w:r>
            <w:r>
              <w:rPr>
                <w:rFonts w:hint="eastAsia" w:cs="宋体" w:asciiTheme="minorEastAsia" w:hAnsiTheme="minorEastAsia"/>
                <w:bCs/>
                <w:kern w:val="0"/>
                <w:lang w:bidi="ar"/>
              </w:rPr>
              <w:t>（</w:t>
            </w:r>
            <w:r>
              <w:rPr>
                <w:rFonts w:hint="eastAsia" w:cs="宋体" w:asciiTheme="minorEastAsia" w:hAnsiTheme="minorEastAsia"/>
                <w:lang w:bidi="ar"/>
              </w:rPr>
              <w:t>提供截图并加盖公章）</w:t>
            </w:r>
          </w:p>
        </w:tc>
      </w:tr>
      <w:tr>
        <w:tblPrEx>
          <w:tblCellMar>
            <w:top w:w="0" w:type="dxa"/>
            <w:left w:w="0" w:type="dxa"/>
            <w:bottom w:w="0" w:type="dxa"/>
            <w:right w:w="0" w:type="dxa"/>
          </w:tblCellMar>
        </w:tblPrEx>
        <w:trPr>
          <w:trHeight w:val="689"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管理员登陆支持多因子认证：静态口令认证，短信验证，支持密码的复杂性管理，比如大小写、数字、特殊字符、长度等，支持自定义内不操作自动锁屏功能；</w:t>
            </w:r>
          </w:p>
        </w:tc>
      </w:tr>
      <w:tr>
        <w:tblPrEx>
          <w:tblCellMar>
            <w:top w:w="0" w:type="dxa"/>
            <w:left w:w="0" w:type="dxa"/>
            <w:bottom w:w="0" w:type="dxa"/>
            <w:right w:w="0" w:type="dxa"/>
          </w:tblCellMar>
        </w:tblPrEx>
        <w:trPr>
          <w:trHeight w:val="489"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可提供审计策略和配置的导入导出；</w:t>
            </w:r>
          </w:p>
        </w:tc>
      </w:tr>
      <w:tr>
        <w:tblPrEx>
          <w:tblCellMar>
            <w:top w:w="0" w:type="dxa"/>
            <w:left w:w="0" w:type="dxa"/>
            <w:bottom w:w="0" w:type="dxa"/>
            <w:right w:w="0" w:type="dxa"/>
          </w:tblCellMar>
        </w:tblPrEx>
        <w:trPr>
          <w:trHeight w:val="489" w:hRule="atLeast"/>
          <w:jc w:val="center"/>
        </w:trPr>
        <w:tc>
          <w:tcPr>
            <w:tcW w:w="1688" w:type="dxa"/>
            <w:vMerge w:val="restart"/>
            <w:tcBorders>
              <w:top w:val="nil"/>
              <w:left w:val="single" w:color="auto" w:sz="4" w:space="0"/>
              <w:bottom w:val="nil"/>
              <w:right w:val="single" w:color="auto" w:sz="8" w:space="0"/>
            </w:tcBorders>
            <w:shd w:val="clear" w:color="auto" w:fill="auto"/>
            <w:tcMar>
              <w:left w:w="108" w:type="dxa"/>
              <w:right w:w="108" w:type="dxa"/>
            </w:tcMar>
            <w:vAlign w:val="center"/>
          </w:tcPr>
          <w:p>
            <w:pPr>
              <w:spacing w:line="360" w:lineRule="auto"/>
              <w:rPr>
                <w:rFonts w:cs="lucida Grande" w:asciiTheme="minorEastAsia" w:hAnsiTheme="minorEastAsia"/>
                <w:color w:val="000000"/>
              </w:rPr>
            </w:pPr>
            <w:r>
              <w:rPr>
                <w:rFonts w:hint="eastAsia" w:cs="lucida Grande" w:asciiTheme="minorEastAsia" w:hAnsiTheme="minorEastAsia"/>
                <w:color w:val="000000"/>
                <w:lang w:bidi="ar"/>
              </w:rPr>
              <w:t>审计数据管理</w:t>
            </w: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提供审计数据管理功能，能够实现对审计数据的自动备份、手动备份，支持增量、全量备份方式；</w:t>
            </w:r>
          </w:p>
        </w:tc>
      </w:tr>
      <w:tr>
        <w:tblPrEx>
          <w:tblCellMar>
            <w:top w:w="0" w:type="dxa"/>
            <w:left w:w="0" w:type="dxa"/>
            <w:bottom w:w="0" w:type="dxa"/>
            <w:right w:w="0" w:type="dxa"/>
          </w:tblCellMar>
        </w:tblPrEx>
        <w:trPr>
          <w:trHeight w:val="489" w:hRule="atLeast"/>
          <w:jc w:val="center"/>
        </w:trPr>
        <w:tc>
          <w:tcPr>
            <w:tcW w:w="1688" w:type="dxa"/>
            <w:vMerge w:val="continue"/>
            <w:tcBorders>
              <w:top w:val="nil"/>
              <w:left w:val="single" w:color="auto" w:sz="4" w:space="0"/>
              <w:bottom w:val="nil"/>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提供审计数据的导出和导入功能；</w:t>
            </w:r>
          </w:p>
        </w:tc>
      </w:tr>
      <w:tr>
        <w:tblPrEx>
          <w:tblCellMar>
            <w:top w:w="0" w:type="dxa"/>
            <w:left w:w="0" w:type="dxa"/>
            <w:bottom w:w="0" w:type="dxa"/>
            <w:right w:w="0" w:type="dxa"/>
          </w:tblCellMar>
        </w:tblPrEx>
        <w:trPr>
          <w:trHeight w:val="489" w:hRule="atLeast"/>
          <w:jc w:val="center"/>
        </w:trPr>
        <w:tc>
          <w:tcPr>
            <w:tcW w:w="1688" w:type="dxa"/>
            <w:vMerge w:val="restart"/>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360" w:lineRule="auto"/>
              <w:rPr>
                <w:rFonts w:cs="lucida Grande" w:asciiTheme="minorEastAsia" w:hAnsiTheme="minorEastAsia"/>
                <w:color w:val="000000"/>
              </w:rPr>
            </w:pPr>
            <w:r>
              <w:rPr>
                <w:rFonts w:hint="eastAsia" w:cs="宋体" w:asciiTheme="minorEastAsia" w:hAnsiTheme="minorEastAsia"/>
                <w:color w:val="000000"/>
                <w:kern w:val="0"/>
                <w:lang w:bidi="ar"/>
              </w:rPr>
              <w:t>攻击检测能力</w:t>
            </w: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★支持对SQL注入、跨站脚本攻击等web攻击的识别与告警；</w:t>
            </w:r>
            <w:r>
              <w:rPr>
                <w:rFonts w:hint="eastAsia" w:cs="宋体" w:asciiTheme="minorEastAsia" w:hAnsiTheme="minorEastAsia"/>
                <w:bCs/>
                <w:kern w:val="0"/>
                <w:lang w:bidi="ar"/>
              </w:rPr>
              <w:t>（</w:t>
            </w:r>
            <w:r>
              <w:rPr>
                <w:rFonts w:hint="eastAsia" w:cs="宋体" w:asciiTheme="minorEastAsia" w:hAnsiTheme="minorEastAsia"/>
                <w:lang w:bidi="ar"/>
              </w:rPr>
              <w:t>提供截图并加盖公章）</w:t>
            </w:r>
          </w:p>
        </w:tc>
      </w:tr>
      <w:tr>
        <w:tblPrEx>
          <w:tblCellMar>
            <w:top w:w="0" w:type="dxa"/>
            <w:left w:w="0" w:type="dxa"/>
            <w:bottom w:w="0" w:type="dxa"/>
            <w:right w:w="0" w:type="dxa"/>
          </w:tblCellMar>
        </w:tblPrEx>
        <w:trPr>
          <w:trHeight w:val="489"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★系统应具备自动发现未知仿冒进程工具的能力，通过对未知进程的监控从客户端工具使用的次数，客户端IP及次数、连接数据库次数等多维度进行安全评估和预警；</w:t>
            </w:r>
            <w:r>
              <w:rPr>
                <w:rFonts w:hint="eastAsia" w:cs="宋体" w:asciiTheme="minorEastAsia" w:hAnsiTheme="minorEastAsia"/>
                <w:bCs/>
                <w:kern w:val="0"/>
                <w:lang w:bidi="ar"/>
              </w:rPr>
              <w:t>（</w:t>
            </w:r>
            <w:r>
              <w:rPr>
                <w:rFonts w:hint="eastAsia" w:cs="宋体" w:asciiTheme="minorEastAsia" w:hAnsiTheme="minorEastAsia"/>
                <w:lang w:bidi="ar"/>
              </w:rPr>
              <w:t>提供截图并加盖公章）</w:t>
            </w:r>
          </w:p>
        </w:tc>
      </w:tr>
      <w:tr>
        <w:tblPrEx>
          <w:tblCellMar>
            <w:top w:w="0" w:type="dxa"/>
            <w:left w:w="0" w:type="dxa"/>
            <w:bottom w:w="0" w:type="dxa"/>
            <w:right w:w="0" w:type="dxa"/>
          </w:tblCellMar>
        </w:tblPrEx>
        <w:trPr>
          <w:trHeight w:val="489"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系统应具备防范非法IP地址、防范暴力破解登录用户密码（能够对连续失败登陆进行自动锁定，锁定时间可设置）等安全功能；</w:t>
            </w:r>
            <w:r>
              <w:rPr>
                <w:rFonts w:cs="宋体" w:asciiTheme="minorEastAsia" w:hAnsiTheme="minorEastAsia"/>
                <w:bCs/>
                <w:color w:val="000000"/>
                <w:kern w:val="0"/>
              </w:rPr>
              <w:t xml:space="preserve"> </w:t>
            </w:r>
          </w:p>
        </w:tc>
      </w:tr>
      <w:tr>
        <w:tblPrEx>
          <w:tblCellMar>
            <w:top w:w="0" w:type="dxa"/>
            <w:left w:w="0" w:type="dxa"/>
            <w:bottom w:w="0" w:type="dxa"/>
            <w:right w:w="0" w:type="dxa"/>
          </w:tblCellMar>
        </w:tblPrEx>
        <w:trPr>
          <w:trHeight w:val="489" w:hRule="atLeast"/>
          <w:jc w:val="center"/>
        </w:trPr>
        <w:tc>
          <w:tcPr>
            <w:tcW w:w="1688" w:type="dxa"/>
            <w:vMerge w:val="continue"/>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8"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系统本身应自带系统级的安全设置，对于统方和破坏数据库的危险行为如：拖库、删表、EXP备份导表等行为自动识别和告警；</w:t>
            </w:r>
            <w:r>
              <w:rPr>
                <w:rFonts w:cs="宋体" w:asciiTheme="minorEastAsia" w:hAnsiTheme="minorEastAsia"/>
                <w:bCs/>
                <w:color w:val="000000"/>
                <w:kern w:val="0"/>
              </w:rPr>
              <w:t xml:space="preserve"> </w:t>
            </w:r>
          </w:p>
        </w:tc>
      </w:tr>
      <w:tr>
        <w:tblPrEx>
          <w:tblCellMar>
            <w:top w:w="0" w:type="dxa"/>
            <w:left w:w="0" w:type="dxa"/>
            <w:bottom w:w="0" w:type="dxa"/>
            <w:right w:w="0" w:type="dxa"/>
          </w:tblCellMar>
        </w:tblPrEx>
        <w:trPr>
          <w:trHeight w:val="489" w:hRule="atLeast"/>
          <w:jc w:val="center"/>
        </w:trPr>
        <w:tc>
          <w:tcPr>
            <w:tcW w:w="1688"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asciiTheme="minorEastAsia" w:hAnsiTheme="minorEastAsia"/>
              </w:rPr>
            </w:pPr>
            <w:r>
              <w:rPr>
                <w:rFonts w:hint="eastAsia" w:cs="宋体" w:asciiTheme="minorEastAsia" w:hAnsiTheme="minorEastAsia"/>
                <w:bCs/>
                <w:color w:val="000000"/>
                <w:kern w:val="0"/>
                <w:lang w:bidi="ar"/>
              </w:rPr>
              <w:t>抗菌药物试剂及耗材分析模块</w:t>
            </w: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lang w:bidi="ar"/>
              </w:rPr>
            </w:pPr>
            <w:r>
              <w:rPr>
                <w:rFonts w:hint="eastAsia" w:cs="宋体" w:asciiTheme="minorEastAsia" w:hAnsiTheme="minorEastAsia"/>
                <w:bCs/>
                <w:color w:val="000000"/>
                <w:kern w:val="0"/>
                <w:lang w:bidi="ar"/>
              </w:rPr>
              <w:t>★支持</w:t>
            </w:r>
            <w:r>
              <w:rPr>
                <w:rFonts w:cs="宋体" w:asciiTheme="minorEastAsia" w:hAnsiTheme="minorEastAsia"/>
                <w:bCs/>
                <w:color w:val="000000"/>
                <w:kern w:val="0"/>
                <w:lang w:bidi="ar"/>
              </w:rPr>
              <w:t>特定时间区间内抗菌药，药剂及耗材的种类，型号，规格，用量，价值的排名统计，并生成报表</w:t>
            </w:r>
            <w:r>
              <w:rPr>
                <w:rFonts w:hint="eastAsia" w:cs="宋体" w:asciiTheme="minorEastAsia" w:hAnsiTheme="minorEastAsia"/>
                <w:bCs/>
                <w:kern w:val="0"/>
                <w:lang w:bidi="ar"/>
              </w:rPr>
              <w:t>（</w:t>
            </w:r>
            <w:r>
              <w:rPr>
                <w:rFonts w:hint="eastAsia" w:cs="宋体" w:asciiTheme="minorEastAsia" w:hAnsiTheme="minorEastAsia"/>
                <w:lang w:bidi="ar"/>
              </w:rPr>
              <w:t>提供截图并加盖公章）</w:t>
            </w:r>
          </w:p>
        </w:tc>
      </w:tr>
      <w:tr>
        <w:tblPrEx>
          <w:tblCellMar>
            <w:top w:w="0" w:type="dxa"/>
            <w:left w:w="0" w:type="dxa"/>
            <w:bottom w:w="0" w:type="dxa"/>
            <w:right w:w="0" w:type="dxa"/>
          </w:tblCellMar>
        </w:tblPrEx>
        <w:trPr>
          <w:trHeight w:val="489" w:hRule="atLeast"/>
          <w:jc w:val="center"/>
        </w:trPr>
        <w:tc>
          <w:tcPr>
            <w:tcW w:w="1688" w:type="dxa"/>
            <w:vMerge w:val="continue"/>
            <w:tcBorders>
              <w:left w:val="single" w:color="auto" w:sz="4" w:space="0"/>
              <w:bottom w:val="single" w:color="auto" w:sz="4" w:space="0"/>
              <w:right w:val="single" w:color="auto" w:sz="4" w:space="0"/>
            </w:tcBorders>
            <w:shd w:val="clear" w:color="auto" w:fill="auto"/>
            <w:tcMar>
              <w:left w:w="108" w:type="dxa"/>
              <w:right w:w="108" w:type="dxa"/>
            </w:tcMar>
            <w:vAlign w:val="center"/>
          </w:tcPr>
          <w:p>
            <w:pPr>
              <w:spacing w:line="360" w:lineRule="auto"/>
              <w:rPr>
                <w:rFonts w:asciiTheme="minorEastAsia" w:hAnsiTheme="minorEastAsia"/>
              </w:rPr>
            </w:pP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lang w:bidi="ar"/>
              </w:rPr>
            </w:pPr>
            <w:r>
              <w:rPr>
                <w:rFonts w:hint="eastAsia" w:cs="宋体" w:asciiTheme="minorEastAsia" w:hAnsiTheme="minorEastAsia"/>
                <w:bCs/>
                <w:color w:val="000000"/>
                <w:kern w:val="0"/>
                <w:lang w:bidi="ar"/>
              </w:rPr>
              <w:t>支持</w:t>
            </w:r>
            <w:r>
              <w:rPr>
                <w:rFonts w:cs="宋体" w:asciiTheme="minorEastAsia" w:hAnsiTheme="minorEastAsia"/>
                <w:bCs/>
                <w:color w:val="000000"/>
                <w:kern w:val="0"/>
                <w:lang w:bidi="ar"/>
              </w:rPr>
              <w:t>对药物，药剂，耗材的全程监控，支持</w:t>
            </w:r>
            <w:r>
              <w:rPr>
                <w:rFonts w:hint="eastAsia" w:cs="宋体" w:asciiTheme="minorEastAsia" w:hAnsiTheme="minorEastAsia"/>
                <w:bCs/>
                <w:color w:val="000000"/>
                <w:kern w:val="0"/>
                <w:lang w:bidi="ar"/>
              </w:rPr>
              <w:t>模糊条件</w:t>
            </w:r>
            <w:r>
              <w:rPr>
                <w:rFonts w:cs="宋体" w:asciiTheme="minorEastAsia" w:hAnsiTheme="minorEastAsia"/>
                <w:bCs/>
                <w:color w:val="000000"/>
                <w:kern w:val="0"/>
                <w:lang w:bidi="ar"/>
              </w:rPr>
              <w:t>查询</w:t>
            </w:r>
            <w:r>
              <w:rPr>
                <w:rFonts w:hint="eastAsia" w:cs="宋体" w:asciiTheme="minorEastAsia" w:hAnsiTheme="minorEastAsia"/>
                <w:bCs/>
                <w:color w:val="000000"/>
                <w:kern w:val="0"/>
                <w:lang w:bidi="ar"/>
              </w:rPr>
              <w:t>和</w:t>
            </w:r>
            <w:r>
              <w:rPr>
                <w:rFonts w:cs="宋体" w:asciiTheme="minorEastAsia" w:hAnsiTheme="minorEastAsia"/>
                <w:bCs/>
                <w:color w:val="000000"/>
                <w:kern w:val="0"/>
                <w:lang w:bidi="ar"/>
              </w:rPr>
              <w:t>精准条件查询</w:t>
            </w:r>
            <w:r>
              <w:rPr>
                <w:rFonts w:hint="eastAsia" w:cs="宋体" w:asciiTheme="minorEastAsia" w:hAnsiTheme="minorEastAsia"/>
                <w:bCs/>
                <w:color w:val="000000"/>
                <w:kern w:val="0"/>
                <w:lang w:bidi="ar"/>
              </w:rPr>
              <w:t>。支持</w:t>
            </w:r>
            <w:r>
              <w:rPr>
                <w:rFonts w:cs="宋体" w:asciiTheme="minorEastAsia" w:hAnsiTheme="minorEastAsia"/>
                <w:bCs/>
                <w:color w:val="000000"/>
                <w:kern w:val="0"/>
                <w:lang w:bidi="ar"/>
              </w:rPr>
              <w:t>对</w:t>
            </w:r>
            <w:r>
              <w:rPr>
                <w:rFonts w:hint="eastAsia" w:cs="宋体" w:asciiTheme="minorEastAsia" w:hAnsiTheme="minorEastAsia"/>
                <w:bCs/>
                <w:color w:val="000000"/>
                <w:kern w:val="0"/>
                <w:lang w:bidi="ar"/>
              </w:rPr>
              <w:t>药物</w:t>
            </w:r>
            <w:r>
              <w:rPr>
                <w:rFonts w:cs="宋体" w:asciiTheme="minorEastAsia" w:hAnsiTheme="minorEastAsia"/>
                <w:bCs/>
                <w:color w:val="000000"/>
                <w:kern w:val="0"/>
                <w:lang w:bidi="ar"/>
              </w:rPr>
              <w:t>，药剂，耗材统计数据</w:t>
            </w:r>
            <w:r>
              <w:rPr>
                <w:rFonts w:hint="eastAsia" w:cs="宋体" w:asciiTheme="minorEastAsia" w:hAnsiTheme="minorEastAsia"/>
                <w:bCs/>
                <w:color w:val="000000"/>
                <w:kern w:val="0"/>
                <w:lang w:bidi="ar"/>
              </w:rPr>
              <w:t>实时</w:t>
            </w:r>
            <w:r>
              <w:rPr>
                <w:rFonts w:cs="宋体" w:asciiTheme="minorEastAsia" w:hAnsiTheme="minorEastAsia"/>
                <w:bCs/>
                <w:color w:val="000000"/>
                <w:kern w:val="0"/>
                <w:lang w:bidi="ar"/>
              </w:rPr>
              <w:t>上报和告警</w:t>
            </w:r>
          </w:p>
        </w:tc>
      </w:tr>
      <w:tr>
        <w:tblPrEx>
          <w:tblCellMar>
            <w:top w:w="0" w:type="dxa"/>
            <w:left w:w="0" w:type="dxa"/>
            <w:bottom w:w="0" w:type="dxa"/>
            <w:right w:w="0" w:type="dxa"/>
          </w:tblCellMar>
        </w:tblPrEx>
        <w:trPr>
          <w:trHeight w:val="412" w:hRule="atLeast"/>
          <w:jc w:val="center"/>
        </w:trPr>
        <w:tc>
          <w:tcPr>
            <w:tcW w:w="1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Theme="minorEastAsia" w:hAnsiTheme="minorEastAsia"/>
                <w:color w:val="000000"/>
              </w:rPr>
            </w:pPr>
            <w:r>
              <w:rPr>
                <w:rFonts w:hint="eastAsia" w:cs="宋体" w:asciiTheme="minorEastAsia" w:hAnsiTheme="minorEastAsia"/>
                <w:color w:val="000000"/>
                <w:kern w:val="0"/>
                <w:lang w:bidi="ar"/>
              </w:rPr>
              <w:t>第三方接口功能</w:t>
            </w: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支持Syslog和SNMP Trap方式向外发送审计日志，支持与第三方邮件和短信系统对接，可外置短信猫，支持GSM卡，提供接口可实现与网络设备的联动。</w:t>
            </w:r>
          </w:p>
        </w:tc>
      </w:tr>
      <w:tr>
        <w:tblPrEx>
          <w:tblCellMar>
            <w:top w:w="0" w:type="dxa"/>
            <w:left w:w="0" w:type="dxa"/>
            <w:bottom w:w="0" w:type="dxa"/>
            <w:right w:w="0" w:type="dxa"/>
          </w:tblCellMar>
        </w:tblPrEx>
        <w:trPr>
          <w:trHeight w:val="402" w:hRule="atLeast"/>
          <w:jc w:val="center"/>
        </w:trPr>
        <w:tc>
          <w:tcPr>
            <w:tcW w:w="1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rPr>
            </w:pP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cs="宋体" w:asciiTheme="minorEastAsia" w:hAnsiTheme="minorEastAsia"/>
                <w:bCs/>
                <w:color w:val="000000"/>
                <w:kern w:val="0"/>
              </w:rPr>
            </w:pPr>
            <w:r>
              <w:rPr>
                <w:rFonts w:hint="eastAsia" w:cs="宋体" w:asciiTheme="minorEastAsia" w:hAnsiTheme="minorEastAsia"/>
                <w:bCs/>
                <w:color w:val="000000"/>
                <w:kern w:val="0"/>
                <w:lang w:bidi="ar"/>
              </w:rPr>
              <w:t>提供接口可实现与网络设备的联动；</w:t>
            </w:r>
          </w:p>
        </w:tc>
      </w:tr>
      <w:tr>
        <w:tblPrEx>
          <w:tblCellMar>
            <w:top w:w="0" w:type="dxa"/>
            <w:left w:w="0" w:type="dxa"/>
            <w:bottom w:w="0" w:type="dxa"/>
            <w:right w:w="0" w:type="dxa"/>
          </w:tblCellMar>
        </w:tblPrEx>
        <w:trPr>
          <w:trHeight w:val="432" w:hRule="atLeast"/>
          <w:jc w:val="center"/>
        </w:trPr>
        <w:tc>
          <w:tcPr>
            <w:tcW w:w="1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rPr>
            </w:pPr>
          </w:p>
        </w:tc>
        <w:tc>
          <w:tcPr>
            <w:tcW w:w="683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360" w:lineRule="auto"/>
              <w:rPr>
                <w:rFonts w:asciiTheme="minorEastAsia" w:hAnsiTheme="minorEastAsia"/>
                <w:color w:val="000000"/>
              </w:rPr>
            </w:pPr>
            <w:r>
              <w:rPr>
                <w:rFonts w:hint="eastAsia" w:cs="宋体" w:asciiTheme="minorEastAsia" w:hAnsiTheme="minorEastAsia"/>
                <w:color w:val="000000"/>
                <w:kern w:val="0"/>
                <w:lang w:bidi="ar"/>
              </w:rPr>
              <w:t>支持与FTP服务器对接（备份与还原），FTP存储进行加密处理，只有通过专门的工具进行恢复和查询浏览；</w:t>
            </w:r>
          </w:p>
        </w:tc>
      </w:tr>
    </w:tbl>
    <w:p>
      <w:pPr>
        <w:spacing w:line="48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1、签订合同后，七日内到货并完成安装。</w:t>
      </w:r>
    </w:p>
    <w:p>
      <w:pPr>
        <w:spacing w:line="480" w:lineRule="auto"/>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2、除文件中所明确的技术规格外，欢迎其他能满足本项目技术需求且性能相当于或高于的产品参加。同时在技术偏离表中作出详细对比说明</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color w:val="FF0000"/>
          <w:sz w:val="28"/>
          <w:szCs w:val="28"/>
          <w:lang w:val="en-US" w:eastAsia="zh-CN"/>
        </w:rPr>
        <w:t>参数中</w:t>
      </w:r>
      <w:r>
        <w:rPr>
          <w:rFonts w:hint="eastAsia" w:ascii="仿宋_GB2312" w:hAnsi="仿宋_GB2312" w:eastAsia="仿宋_GB2312" w:cs="仿宋_GB2312"/>
          <w:color w:val="FF0000"/>
          <w:sz w:val="28"/>
          <w:szCs w:val="28"/>
        </w:rPr>
        <w:t>★</w:t>
      </w:r>
      <w:r>
        <w:rPr>
          <w:rFonts w:hint="eastAsia" w:ascii="仿宋_GB2312" w:hAnsi="仿宋_GB2312" w:eastAsia="仿宋_GB2312" w:cs="仿宋_GB2312"/>
          <w:color w:val="FF0000"/>
          <w:sz w:val="28"/>
          <w:szCs w:val="28"/>
          <w:lang w:val="en-US" w:eastAsia="zh-CN"/>
        </w:rPr>
        <w:t>部分必须满足要求。</w:t>
      </w:r>
    </w:p>
    <w:p>
      <w:pPr>
        <w:spacing w:line="48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3、如技术要求中未特别注明需执行的国家相关标准、行业标准、地方标准或者其他标准、规范，则统一执行最新标准、规范。</w:t>
      </w:r>
    </w:p>
    <w:p>
      <w:pPr>
        <w:spacing w:line="480" w:lineRule="auto"/>
        <w:ind w:firstLine="482" w:firstLineChars="200"/>
        <w:rPr>
          <w:b/>
          <w:bCs/>
          <w:sz w:val="24"/>
          <w:highlight w:val="none"/>
        </w:rPr>
      </w:pPr>
      <w:r>
        <w:rPr>
          <w:rFonts w:hint="eastAsia"/>
          <w:b/>
          <w:bCs/>
          <w:sz w:val="24"/>
          <w:highlight w:val="none"/>
        </w:rPr>
        <w:t>六、供应商资格条件：</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1.满足《中华人民共和国政府采购法》第二十二条规定；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2.未被信用中国网站（www.creditchina.gov.cn）列入失信被执行人、重大税收违法案件当事人名单；未被中国政府采购网（www.ccgp.gov.cn）列入政府采购严重违法失信行为记录名单。</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、本项目不接受联合体投标。</w:t>
      </w:r>
    </w:p>
    <w:p>
      <w:pPr>
        <w:pStyle w:val="2"/>
      </w:pP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七、质量及服务要求：</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1.服务方提供周一至周日7×24小时的电话支持和现场响应服务，针对所升级设备发生的宕机等重大故障，服务方要在接到甲方报修电话后30分钟内响应，</w:t>
      </w:r>
      <w:r>
        <w:rPr>
          <w:rFonts w:hint="eastAsia" w:ascii="仿宋_GB2312" w:hAnsi="仿宋_GB2312" w:eastAsia="仿宋_GB2312" w:cs="仿宋_GB2312"/>
          <w:color w:val="FF0000"/>
          <w:sz w:val="28"/>
          <w:szCs w:val="28"/>
        </w:rPr>
        <w:t>并在1</w:t>
      </w:r>
      <w:r>
        <w:rPr>
          <w:rFonts w:hint="eastAsia" w:ascii="仿宋_GB2312" w:hAnsi="仿宋_GB2312" w:eastAsia="仿宋_GB2312" w:cs="仿宋_GB2312"/>
          <w:color w:val="FF0000"/>
          <w:sz w:val="28"/>
          <w:szCs w:val="28"/>
          <w:lang w:val="en-US" w:eastAsia="zh-CN"/>
        </w:rPr>
        <w:t>2</w:t>
      </w:r>
      <w:r>
        <w:rPr>
          <w:rFonts w:hint="eastAsia" w:ascii="仿宋_GB2312" w:hAnsi="仿宋_GB2312" w:eastAsia="仿宋_GB2312" w:cs="仿宋_GB2312"/>
          <w:color w:val="FF0000"/>
          <w:sz w:val="28"/>
          <w:szCs w:val="28"/>
        </w:rPr>
        <w:t>小时内到达现场。</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2.安全服务要求：</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服务方必须按照大庆市人民医院要求提供相应的维护方案，提交服务方案经甲方审阅通过后才能执行。在整个服务过程中，服务方要服从甲方的管理，严格遵守保密规定，不得向无关人员透露买方设备、数据信息。</w:t>
      </w:r>
    </w:p>
    <w:p>
      <w:pPr>
        <w:spacing w:line="600" w:lineRule="exact"/>
        <w:ind w:firstLine="660"/>
        <w:jc w:val="lef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八、验收标准：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由买方或其指定单位组织人员进行系统、检测验收，卖方应派检查人员到现场参加检验工作。如发现功能缺陷、系统故障、的问题，买卖双方检验人员应作详细记录，并由买卖双方代表签字。</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.提交实施服务报告。</w:t>
      </w:r>
    </w:p>
    <w:p>
      <w:pPr>
        <w:spacing w:line="600" w:lineRule="exact"/>
        <w:ind w:firstLine="66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.系统运行状态检查。</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九、交付使用期及合同履行期：</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合同签订之日起7日内交付使用并完成验收。</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十、付款方式：</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验收合格后一次性支付项目合同款95%，供应商需留存质量保证</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金合同总价的5%。采购单位验收合格且质保期满后，无质量问</w:t>
      </w:r>
    </w:p>
    <w:p>
      <w:pPr>
        <w:spacing w:line="600" w:lineRule="exact"/>
        <w:ind w:firstLine="6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题将质量保证金无息退还给供应商。</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十一、投标文件格式：</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1.有意投标者请将投标资料密封在信封或档案袋内（投标书封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面，要求写明文件名称、投标单位名称（盖章）、地址、投标</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单位法定代表人（签字或盖章），投标单位联系人，联系电话），</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提供原件的需单独密封。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2.标书要求：一本正本、三本副本均加盖公章，装订方式为胶装。</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3.标书封面须有以下内容（1）投标公司全称及正本或副本标识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（2）投标公司联系人及联系方式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4.投标文件包含项目：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（1）提供有效的营业执照副本（加盖公章）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（2）法定代表人身份证（法定代表人参会时提供）。如参会代</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表不是法定代表人的，须附有授权委托书，法定代表人身份证</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及授权代表身份证。授权代表需提供社保证明。（加盖公章）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（3）报价明细单（加盖公章）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（4）供应商提供投标截止日前6个月内任意1个月依法缴纳税</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收和社会保障资金的相关材料。或不需要缴纳社会保障资金的，</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提供相应证明材料（加盖公章）</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（5）诚信竞争承诺书。（加盖公章，格式自定）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（6）提供本单位的参加政府采购活动前3年内在经营活动中没</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有重大违法记录的书面声明（加盖公章，格式自定）。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（7）响应资料无弄虚作假声明。如发现资料为虚假资料，将取</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消响应资格，且供应商自行承担法律责任（加盖公章，格式自定）。</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8）未被信用中国网站（www.creditchina.gov.cn）列入失信被执行人、重大税收违法案件当事人名单；未被中国政府采购网（www.ccgp.gov.cn）列入政府采购严重违法失信行为记录名单。提供网站查询截图。（加盖公章，格式自定）</w:t>
      </w:r>
    </w:p>
    <w:p>
      <w:pPr>
        <w:spacing w:line="600" w:lineRule="exact"/>
        <w:ind w:firstLine="660"/>
        <w:jc w:val="left"/>
        <w:rPr>
          <w:rFonts w:eastAsia="仿宋_GB2312"/>
        </w:rPr>
      </w:pPr>
      <w:r>
        <w:rPr>
          <w:rFonts w:hint="eastAsia" w:ascii="仿宋_GB2312" w:hAnsi="仿宋_GB2312" w:eastAsia="仿宋_GB2312" w:cs="仿宋_GB2312"/>
          <w:sz w:val="28"/>
          <w:szCs w:val="28"/>
        </w:rPr>
        <w:t>（9）技术文档中明确所投标的的产品品牌、规格型号或服务内容或工程量； 投标文件应当对招标文件提出的要求和条件作出明确响应并满足招标文件全部实质性要求。（加盖公章，格式自定）</w:t>
      </w:r>
    </w:p>
    <w:p>
      <w:pPr>
        <w:spacing w:line="600" w:lineRule="exact"/>
        <w:ind w:firstLine="66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十二、报名须知：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1.本项目采购公告发出后，如有变更（如：变更通知、有关问题答复、质疑答复等相关文件），将在“大庆市人民医院网站”告知，转载无效，所有参与本项目投标的供应商，供应商应主动查看。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2.本项目不设资格预审，供应商应详细阅读本公告，符合条件即可参与。参标供应商按照要求将所有资质证明资料提供到开标会现场，由评委小组审查，经评审不符合条件者投标无效。 </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3.如有质疑，请以书面形式提出并附营业执照复印件及法人身份证复印件，其它形式采购方均不受理。</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4.招标谈判价格及中标价格都为税后价格。</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5、报名时间：公告之日起至-</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-日。超过报名期限，报名无效。</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报名方式：邮箱报名：rmyyxxzx@126.com，需要填写附件报名表（本公告最后一页），填写完整并加盖公章后上传PDF版至此邮箱。</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咨询电话： 6612123  6612857</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 标 地 址：大庆市人民医院（如遇特殊情况另行通知）</w:t>
      </w:r>
    </w:p>
    <w:p>
      <w:p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 标 时 间：-</w:t>
      </w: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10</w:t>
      </w:r>
      <w:bookmarkStart w:id="0" w:name="_GoBack"/>
      <w:bookmarkEnd w:id="0"/>
      <w:r>
        <w:rPr>
          <w:rFonts w:hint="eastAsia" w:ascii="仿宋_GB2312" w:hAnsi="仿宋_GB2312" w:eastAsia="仿宋_GB2312" w:cs="仿宋_GB2312"/>
          <w:sz w:val="28"/>
          <w:szCs w:val="28"/>
        </w:rPr>
        <w:t xml:space="preserve">-日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如有变化另行通知</w:t>
      </w:r>
      <w:r>
        <w:rPr>
          <w:rFonts w:ascii="仿宋_GB2312" w:hAnsi="仿宋_GB2312" w:eastAsia="仿宋_GB2312" w:cs="仿宋_GB2312"/>
          <w:sz w:val="28"/>
          <w:szCs w:val="28"/>
        </w:rPr>
        <w:t>)</w:t>
      </w:r>
    </w:p>
    <w:p>
      <w:pPr>
        <w:numPr>
          <w:ilvl w:val="0"/>
          <w:numId w:val="1"/>
        </w:numPr>
        <w:spacing w:line="600" w:lineRule="exact"/>
        <w:ind w:firstLine="6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投标代表（法人或法人授权人）请在开标时间前20分钟携带身份证到达会场签到（签到时查验身份证件）未按开标时间参加开标会议的将视为自动弃权。具体事项工作人员将通过报名表中移动电话进行告知。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cs="宋体"/>
          <w:sz w:val="36"/>
          <w:szCs w:val="36"/>
        </w:rPr>
      </w:pPr>
      <w:r>
        <w:rPr>
          <w:rFonts w:hint="eastAsia" w:ascii="宋体" w:hAnsi="宋体" w:cs="宋体"/>
          <w:sz w:val="36"/>
          <w:szCs w:val="36"/>
        </w:rPr>
        <w:t xml:space="preserve">附件    </w:t>
      </w:r>
    </w:p>
    <w:p>
      <w:pPr>
        <w:ind w:firstLine="2880" w:firstLineChars="800"/>
        <w:rPr>
          <w:rFonts w:ascii="宋体" w:hAnsi="宋体" w:cs="宋体"/>
          <w:sz w:val="36"/>
          <w:szCs w:val="36"/>
        </w:rPr>
      </w:pPr>
      <w:r>
        <w:rPr>
          <w:rFonts w:hint="eastAsia" w:ascii="宋体" w:hAnsi="宋体" w:cs="宋体"/>
          <w:sz w:val="36"/>
          <w:szCs w:val="36"/>
        </w:rPr>
        <w:t>xx项目投标报名表</w:t>
      </w:r>
    </w:p>
    <w:p>
      <w:pPr>
        <w:pBdr>
          <w:top w:val="single" w:color="auto" w:sz="4" w:space="1"/>
          <w:left w:val="single" w:color="auto" w:sz="4" w:space="4"/>
          <w:bottom w:val="single" w:color="auto" w:sz="4" w:space="1"/>
          <w:right w:val="single" w:color="auto" w:sz="4" w:space="4"/>
          <w:between w:val="single" w:color="000000" w:sz="4" w:space="0"/>
        </w:pBdr>
        <w:rPr>
          <w:rFonts w:ascii="宋体" w:hAnsi="宋体" w:cs="宋体"/>
          <w:sz w:val="36"/>
          <w:szCs w:val="36"/>
        </w:rPr>
      </w:pPr>
      <w:r>
        <w:rPr>
          <w:rFonts w:hint="eastAsia" w:ascii="宋体" w:hAnsi="宋体" w:cs="宋体"/>
          <w:sz w:val="36"/>
          <w:szCs w:val="36"/>
        </w:rPr>
        <w:t>项目名称：</w:t>
      </w:r>
    </w:p>
    <w:p>
      <w:pPr>
        <w:pBdr>
          <w:top w:val="single" w:color="auto" w:sz="4" w:space="1"/>
          <w:left w:val="single" w:color="auto" w:sz="4" w:space="4"/>
          <w:bottom w:val="single" w:color="auto" w:sz="4" w:space="1"/>
          <w:right w:val="single" w:color="auto" w:sz="4" w:space="4"/>
          <w:between w:val="none" w:color="000000" w:sz="0" w:space="0"/>
        </w:pBdr>
        <w:rPr>
          <w:rFonts w:ascii="宋体" w:hAnsi="宋体" w:cs="宋体"/>
          <w:sz w:val="36"/>
          <w:szCs w:val="36"/>
        </w:rPr>
      </w:pPr>
      <w:r>
        <w:rPr>
          <w:rFonts w:hint="eastAsia" w:ascii="宋体" w:hAnsi="宋体" w:cs="宋体"/>
          <w:sz w:val="36"/>
          <w:szCs w:val="36"/>
        </w:rPr>
        <w:t>项目编号：</w:t>
      </w:r>
    </w:p>
    <w:p>
      <w:pPr>
        <w:pBdr>
          <w:top w:val="single" w:color="000000" w:sz="4" w:space="1"/>
          <w:left w:val="single" w:color="000000" w:sz="4" w:space="4"/>
          <w:bottom w:val="single" w:color="000000" w:sz="4" w:space="1"/>
          <w:right w:val="single" w:color="000000" w:sz="4" w:space="4"/>
          <w:between w:val="none" w:color="000000" w:sz="0" w:space="0"/>
        </w:pBdr>
        <w:rPr>
          <w:rFonts w:ascii="宋体" w:hAnsi="宋体" w:cs="宋体"/>
          <w:sz w:val="32"/>
          <w:szCs w:val="32"/>
        </w:rPr>
      </w:pPr>
      <w:r>
        <w:rPr>
          <w:rFonts w:hint="eastAsia" w:ascii="宋体" w:hAnsi="宋体" w:cs="宋体"/>
          <w:sz w:val="32"/>
          <w:szCs w:val="32"/>
        </w:rPr>
        <w:t xml:space="preserve">联系人：                  移动电话：                 </w:t>
      </w:r>
    </w:p>
    <w:p>
      <w:pPr>
        <w:pBdr>
          <w:top w:val="single" w:color="auto" w:sz="4" w:space="1"/>
          <w:left w:val="single" w:color="auto" w:sz="4" w:space="4"/>
          <w:bottom w:val="none" w:color="auto" w:sz="0" w:space="1"/>
          <w:right w:val="single" w:color="auto" w:sz="4" w:space="4"/>
        </w:pBdr>
        <w:rPr>
          <w:rFonts w:ascii="宋体" w:hAnsi="宋体" w:cs="宋体"/>
          <w:sz w:val="36"/>
          <w:szCs w:val="36"/>
        </w:rPr>
      </w:pPr>
      <w:r>
        <w:rPr>
          <w:rFonts w:hint="eastAsia" w:ascii="宋体" w:hAnsi="宋体" w:cs="宋体"/>
          <w:sz w:val="32"/>
          <w:szCs w:val="32"/>
        </w:rPr>
        <w:t>电子邮件：</w:t>
      </w:r>
    </w:p>
    <w:p>
      <w:pPr>
        <w:pBdr>
          <w:top w:val="single" w:color="auto" w:sz="4" w:space="1"/>
          <w:left w:val="single" w:color="auto" w:sz="4" w:space="4"/>
          <w:bottom w:val="single" w:color="auto" w:sz="4" w:space="1"/>
          <w:right w:val="single" w:color="auto" w:sz="4" w:space="4"/>
        </w:pBdr>
        <w:ind w:firstLine="720" w:firstLineChars="200"/>
        <w:rPr>
          <w:rFonts w:ascii="宋体" w:hAnsi="宋体" w:cs="宋体"/>
          <w:sz w:val="36"/>
          <w:szCs w:val="36"/>
        </w:rPr>
      </w:pPr>
      <w:r>
        <w:rPr>
          <w:rFonts w:hint="eastAsia" w:ascii="宋体" w:hAnsi="宋体" w:cs="宋体"/>
          <w:sz w:val="36"/>
          <w:szCs w:val="36"/>
        </w:rPr>
        <w:t xml:space="preserve">我公司已阅读该项目招标文件及公告，并按照要求提供资料报名参加投标。                                             </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w:t>
      </w:r>
    </w:p>
    <w:p>
      <w:pPr>
        <w:pBdr>
          <w:top w:val="single" w:color="auto" w:sz="4" w:space="1"/>
          <w:left w:val="single" w:color="auto" w:sz="4" w:space="4"/>
          <w:bottom w:val="single" w:color="auto" w:sz="4" w:space="1"/>
          <w:right w:val="single" w:color="auto" w:sz="4" w:space="4"/>
        </w:pBdr>
        <w:rPr>
          <w:rFonts w:ascii="宋体" w:hAnsi="宋体" w:cs="宋体"/>
          <w:sz w:val="36"/>
          <w:szCs w:val="36"/>
        </w:rPr>
      </w:pPr>
    </w:p>
    <w:p>
      <w:pPr>
        <w:pBdr>
          <w:top w:val="single" w:color="auto" w:sz="4" w:space="1"/>
          <w:left w:val="single" w:color="auto" w:sz="4" w:space="4"/>
          <w:bottom w:val="single" w:color="auto" w:sz="4" w:space="1"/>
          <w:right w:val="single" w:color="auto" w:sz="4" w:space="4"/>
        </w:pBdr>
        <w:rPr>
          <w:rFonts w:ascii="宋体" w:hAnsi="宋体" w:cs="宋体"/>
          <w:sz w:val="36"/>
          <w:szCs w:val="36"/>
        </w:rPr>
      </w:pPr>
    </w:p>
    <w:p>
      <w:pPr>
        <w:pBdr>
          <w:top w:val="single" w:color="auto" w:sz="4" w:space="1"/>
          <w:left w:val="single" w:color="auto" w:sz="4" w:space="4"/>
          <w:bottom w:val="single" w:color="auto" w:sz="4" w:space="1"/>
          <w:right w:val="single" w:color="auto" w:sz="4" w:space="4"/>
        </w:pBdr>
        <w:ind w:firstLine="720" w:firstLineChars="200"/>
        <w:rPr>
          <w:rFonts w:ascii="宋体" w:hAnsi="宋体" w:cs="宋体"/>
          <w:sz w:val="36"/>
          <w:szCs w:val="36"/>
        </w:rPr>
      </w:pPr>
      <w:r>
        <w:rPr>
          <w:rFonts w:hint="eastAsia" w:ascii="宋体" w:hAnsi="宋体" w:cs="宋体"/>
          <w:sz w:val="36"/>
          <w:szCs w:val="36"/>
        </w:rPr>
        <w:t>投标单位（公章）：</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报名代表签字：</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报名日期：      年     月     日</w:t>
      </w:r>
    </w:p>
    <w:p>
      <w:pPr>
        <w:pBdr>
          <w:top w:val="single" w:color="auto" w:sz="4" w:space="1"/>
          <w:left w:val="single" w:color="auto" w:sz="4" w:space="4"/>
          <w:bottom w:val="single" w:color="auto" w:sz="4" w:space="1"/>
          <w:right w:val="single" w:color="auto" w:sz="4" w:space="4"/>
        </w:pBdr>
        <w:rPr>
          <w:rFonts w:ascii="宋体" w:hAnsi="宋体" w:cs="宋体"/>
          <w:sz w:val="36"/>
          <w:szCs w:val="36"/>
        </w:rPr>
      </w:pPr>
      <w:r>
        <w:rPr>
          <w:rFonts w:hint="eastAsia" w:ascii="宋体" w:hAnsi="宋体" w:cs="宋体"/>
          <w:sz w:val="36"/>
          <w:szCs w:val="36"/>
        </w:rPr>
        <w:t xml:space="preserve">                                              </w:t>
      </w:r>
    </w:p>
    <w:p>
      <w:pPr>
        <w:pBdr>
          <w:top w:val="single" w:color="auto" w:sz="4" w:space="1"/>
          <w:left w:val="single" w:color="auto" w:sz="4" w:space="4"/>
          <w:bottom w:val="single" w:color="auto" w:sz="4" w:space="1"/>
          <w:right w:val="single" w:color="auto" w:sz="4" w:space="4"/>
        </w:pBdr>
        <w:rPr>
          <w:rFonts w:ascii="宋体" w:hAnsi="宋体" w:cs="宋体"/>
          <w:b/>
          <w:bCs/>
          <w:sz w:val="36"/>
          <w:szCs w:val="36"/>
        </w:rPr>
      </w:pPr>
      <w:r>
        <w:rPr>
          <w:rFonts w:hint="eastAsia" w:ascii="宋体" w:hAnsi="宋体" w:cs="宋体"/>
          <w:b/>
          <w:bCs/>
          <w:sz w:val="36"/>
          <w:szCs w:val="36"/>
        </w:rPr>
        <w:t>注：如放弃此项目，请在开标前电话告知。</w:t>
      </w:r>
    </w:p>
    <w:p>
      <w:pPr>
        <w:spacing w:line="600" w:lineRule="exact"/>
        <w:jc w:val="left"/>
        <w:rPr>
          <w:rFonts w:ascii="仿宋_GB2312" w:hAnsi="仿宋_GB2312" w:eastAsia="仿宋_GB2312" w:cs="仿宋_GB2312"/>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lucida Grande">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6A156"/>
    <w:multiLevelType w:val="singleLevel"/>
    <w:tmpl w:val="05D6A156"/>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UyODdjMzQxMjk5MjdjYjFiYmIyNjYyZjIyYTY0M2EifQ=="/>
  </w:docVars>
  <w:rsids>
    <w:rsidRoot w:val="274C36AC"/>
    <w:rsid w:val="000A6B4D"/>
    <w:rsid w:val="000E0E27"/>
    <w:rsid w:val="00215371"/>
    <w:rsid w:val="002928AD"/>
    <w:rsid w:val="002B26D7"/>
    <w:rsid w:val="0056001E"/>
    <w:rsid w:val="00577EA8"/>
    <w:rsid w:val="00590E07"/>
    <w:rsid w:val="005B2D51"/>
    <w:rsid w:val="00614600"/>
    <w:rsid w:val="00747C14"/>
    <w:rsid w:val="007770AE"/>
    <w:rsid w:val="007C063A"/>
    <w:rsid w:val="008218A2"/>
    <w:rsid w:val="008574B4"/>
    <w:rsid w:val="00944F99"/>
    <w:rsid w:val="00957DB9"/>
    <w:rsid w:val="00980991"/>
    <w:rsid w:val="009D00E8"/>
    <w:rsid w:val="00A45DDA"/>
    <w:rsid w:val="00AE2698"/>
    <w:rsid w:val="00B1297D"/>
    <w:rsid w:val="00B417BE"/>
    <w:rsid w:val="00B45064"/>
    <w:rsid w:val="00B5181C"/>
    <w:rsid w:val="00BB6D90"/>
    <w:rsid w:val="00C01904"/>
    <w:rsid w:val="00C4235B"/>
    <w:rsid w:val="00CC73FF"/>
    <w:rsid w:val="00D12778"/>
    <w:rsid w:val="00D3767D"/>
    <w:rsid w:val="00D6456A"/>
    <w:rsid w:val="00DD1236"/>
    <w:rsid w:val="03174096"/>
    <w:rsid w:val="050140F6"/>
    <w:rsid w:val="05410980"/>
    <w:rsid w:val="072D4A49"/>
    <w:rsid w:val="09182F28"/>
    <w:rsid w:val="0B022976"/>
    <w:rsid w:val="0E760A58"/>
    <w:rsid w:val="0EA25227"/>
    <w:rsid w:val="0FDF5034"/>
    <w:rsid w:val="11665AD8"/>
    <w:rsid w:val="11D37C8C"/>
    <w:rsid w:val="1666025D"/>
    <w:rsid w:val="16775FC6"/>
    <w:rsid w:val="16CF4C05"/>
    <w:rsid w:val="1991739F"/>
    <w:rsid w:val="1C4A23CF"/>
    <w:rsid w:val="1D1D61ED"/>
    <w:rsid w:val="1DBF33D6"/>
    <w:rsid w:val="20E547E2"/>
    <w:rsid w:val="231B00C0"/>
    <w:rsid w:val="25511304"/>
    <w:rsid w:val="25CD79B1"/>
    <w:rsid w:val="274C36AC"/>
    <w:rsid w:val="27DC7057"/>
    <w:rsid w:val="28821F99"/>
    <w:rsid w:val="2A816FBC"/>
    <w:rsid w:val="2C365656"/>
    <w:rsid w:val="2C445632"/>
    <w:rsid w:val="2FAC6889"/>
    <w:rsid w:val="32F24260"/>
    <w:rsid w:val="3332035D"/>
    <w:rsid w:val="354457B6"/>
    <w:rsid w:val="35692C47"/>
    <w:rsid w:val="367040CD"/>
    <w:rsid w:val="369F6410"/>
    <w:rsid w:val="390A7E67"/>
    <w:rsid w:val="39AD1B7B"/>
    <w:rsid w:val="3B0E03F8"/>
    <w:rsid w:val="3B5C2AB8"/>
    <w:rsid w:val="3B800BCA"/>
    <w:rsid w:val="3E001ACB"/>
    <w:rsid w:val="3F7E2D29"/>
    <w:rsid w:val="400E575F"/>
    <w:rsid w:val="44305883"/>
    <w:rsid w:val="46BA0F8B"/>
    <w:rsid w:val="48A95C04"/>
    <w:rsid w:val="4A8B7146"/>
    <w:rsid w:val="4B9366F7"/>
    <w:rsid w:val="4DC0318A"/>
    <w:rsid w:val="4EA561F2"/>
    <w:rsid w:val="4EC240F1"/>
    <w:rsid w:val="4F037DBD"/>
    <w:rsid w:val="4F195FC5"/>
    <w:rsid w:val="50695DFD"/>
    <w:rsid w:val="539A1A43"/>
    <w:rsid w:val="5452714F"/>
    <w:rsid w:val="54A57831"/>
    <w:rsid w:val="56B50A62"/>
    <w:rsid w:val="56DE65BB"/>
    <w:rsid w:val="57B123DF"/>
    <w:rsid w:val="593372DF"/>
    <w:rsid w:val="5BFA49A5"/>
    <w:rsid w:val="5DC11AA1"/>
    <w:rsid w:val="5DD9376C"/>
    <w:rsid w:val="5E0F1C0D"/>
    <w:rsid w:val="614F3DBC"/>
    <w:rsid w:val="615675DB"/>
    <w:rsid w:val="63116428"/>
    <w:rsid w:val="64E020F2"/>
    <w:rsid w:val="65BF660F"/>
    <w:rsid w:val="663A3EE7"/>
    <w:rsid w:val="670544F5"/>
    <w:rsid w:val="67BC4283"/>
    <w:rsid w:val="684E3579"/>
    <w:rsid w:val="68F159A6"/>
    <w:rsid w:val="69BB70ED"/>
    <w:rsid w:val="6C77221A"/>
    <w:rsid w:val="6C7C7008"/>
    <w:rsid w:val="6D1159A2"/>
    <w:rsid w:val="6DC13574"/>
    <w:rsid w:val="6F190B3E"/>
    <w:rsid w:val="6FC22CFB"/>
    <w:rsid w:val="71867FE1"/>
    <w:rsid w:val="725F3A16"/>
    <w:rsid w:val="73F94DAE"/>
    <w:rsid w:val="747D6EEF"/>
    <w:rsid w:val="77BA4C37"/>
    <w:rsid w:val="7C6D781C"/>
    <w:rsid w:val="7E051EB1"/>
    <w:rsid w:val="7EC62364"/>
    <w:rsid w:val="7EE2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Times New Roman" w:hAnsi="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font21"/>
    <w:basedOn w:val="7"/>
    <w:qFormat/>
    <w:uiPriority w:val="0"/>
    <w:rPr>
      <w:rFonts w:hint="default" w:ascii="仿宋_GB2312" w:eastAsia="仿宋_GB2312" w:cs="仿宋_GB2312"/>
      <w:color w:val="000000"/>
      <w:sz w:val="28"/>
      <w:szCs w:val="28"/>
      <w:u w:val="none"/>
    </w:rPr>
  </w:style>
  <w:style w:type="paragraph" w:styleId="10">
    <w:name w:val="List Paragraph"/>
    <w:basedOn w:val="1"/>
    <w:qFormat/>
    <w:uiPriority w:val="34"/>
    <w:pPr>
      <w:framePr w:wrap="around" w:vAnchor="margin" w:hAnchor="text" w:y="1"/>
      <w:ind w:firstLine="420" w:firstLineChars="200"/>
    </w:pPr>
    <w:rPr>
      <w:rFonts w:ascii="Times New Roman" w:hAnsi="Times New Roman" w:eastAsia="Arial Unicode MS" w:cs="Arial Unicode MS"/>
      <w:color w:val="000000"/>
      <w:szCs w:val="21"/>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796</Words>
  <Characters>4542</Characters>
  <Lines>37</Lines>
  <Paragraphs>10</Paragraphs>
  <TotalTime>6</TotalTime>
  <ScaleCrop>false</ScaleCrop>
  <LinksUpToDate>false</LinksUpToDate>
  <CharactersWithSpaces>5328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2023-10-13T06:41:00Z</dcterms:created>
  <dc:creator>勇咣</dc:creator>
  <cp:lastModifiedBy>ztb</cp:lastModifiedBy>
  <cp:lastPrinted>2022-07-11T06:35:00Z</cp:lastPrinted>
  <dcterms:modified xsi:type="dcterms:W3CDTF">2023-11-03T05:43:50Z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D95DCAEADEC949B492974C9B139B78FD_13</vt:lpwstr>
  </property>
</Properties>
</file>