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5657B5">
      <w:pPr>
        <w:spacing w:line="560" w:lineRule="exact"/>
        <w:jc w:val="center"/>
        <w:rPr>
          <w:bCs/>
          <w:sz w:val="44"/>
          <w:szCs w:val="44"/>
        </w:rPr>
      </w:pPr>
      <w:r>
        <w:rPr>
          <w:bCs/>
          <w:sz w:val="44"/>
          <w:szCs w:val="44"/>
        </w:rPr>
        <w:t>大庆市人民医院</w:t>
      </w:r>
    </w:p>
    <w:p w14:paraId="100C703B">
      <w:pPr>
        <w:spacing w:line="560" w:lineRule="exact"/>
        <w:jc w:val="center"/>
        <w:rPr>
          <w:bCs/>
          <w:sz w:val="44"/>
          <w:szCs w:val="44"/>
        </w:rPr>
      </w:pPr>
      <w:r>
        <w:rPr>
          <w:bCs/>
          <w:sz w:val="44"/>
          <w:szCs w:val="44"/>
        </w:rPr>
        <w:t>202</w:t>
      </w:r>
      <w:r>
        <w:rPr>
          <w:rFonts w:hint="eastAsia"/>
          <w:bCs/>
          <w:sz w:val="44"/>
          <w:szCs w:val="44"/>
          <w:lang w:val="en-US" w:eastAsia="zh-CN"/>
        </w:rPr>
        <w:t>6</w:t>
      </w:r>
      <w:r>
        <w:rPr>
          <w:bCs/>
          <w:sz w:val="44"/>
          <w:szCs w:val="44"/>
        </w:rPr>
        <w:t>年中秋国庆“双节”职工慰问品</w:t>
      </w:r>
    </w:p>
    <w:p w14:paraId="3DB8273A">
      <w:pPr>
        <w:spacing w:line="560" w:lineRule="exact"/>
        <w:jc w:val="center"/>
        <w:rPr>
          <w:rFonts w:eastAsia="方正仿宋_GB2312"/>
          <w:sz w:val="32"/>
          <w:szCs w:val="32"/>
        </w:rPr>
      </w:pPr>
      <w:r>
        <w:rPr>
          <w:bCs/>
          <w:sz w:val="44"/>
          <w:szCs w:val="44"/>
        </w:rPr>
        <w:t>采购公告</w:t>
      </w:r>
    </w:p>
    <w:p w14:paraId="7F017D97"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</w:p>
    <w:p w14:paraId="6DC72425"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pacing w:val="-11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bCs/>
          <w:sz w:val="32"/>
          <w:szCs w:val="32"/>
        </w:rPr>
        <w:t>项目编号：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RMYYGH202600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lang w:val="en-US" w:eastAsia="zh-CN"/>
        </w:rPr>
        <w:t>3</w:t>
      </w:r>
    </w:p>
    <w:p w14:paraId="3AD729AB"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二、项目名称：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年中秋国庆“双节”职工慰问品采购项目</w:t>
      </w:r>
    </w:p>
    <w:p w14:paraId="6C2E75CE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三、项目预算</w:t>
      </w:r>
      <w:r>
        <w:rPr>
          <w:rFonts w:hint="eastAsia" w:ascii="黑体" w:hAnsi="黑体" w:eastAsia="黑体" w:cs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包一：2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万元；包二：14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</w:t>
      </w:r>
    </w:p>
    <w:p w14:paraId="5F1BBD13">
      <w:pPr>
        <w:spacing w:line="560" w:lineRule="exact"/>
        <w:rPr>
          <w:rFonts w:eastAsia="方正仿宋_GB2312"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 xml:space="preserve">   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bCs/>
          <w:sz w:val="32"/>
          <w:szCs w:val="32"/>
        </w:rPr>
        <w:t>四、供应方须知：</w:t>
      </w:r>
    </w:p>
    <w:p w14:paraId="795A92EB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1.最终结算金额以实际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发生数量计算</w:t>
      </w:r>
      <w:r>
        <w:rPr>
          <w:rFonts w:hint="eastAsia" w:ascii="仿宋_GB2312" w:hAnsi="仿宋_GB2312" w:eastAsia="仿宋_GB2312" w:cs="仿宋_GB2312"/>
          <w:sz w:val="32"/>
          <w:szCs w:val="32"/>
        </w:rPr>
        <w:t>，包含成本、利润、保险、人工、运输、税金等完成本项目所产生的全部相关费用，采购方不再另行支付。</w:t>
      </w:r>
    </w:p>
    <w:p w14:paraId="01E1DDC5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2.所有货品保证品质，符合健康卫生标准，送货日期需在保质期三分之一内。</w:t>
      </w:r>
    </w:p>
    <w:p w14:paraId="68A392EB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3.中标供应方确保在202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年9月2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日前供货。</w:t>
      </w:r>
    </w:p>
    <w:p w14:paraId="2A282228">
      <w:pPr>
        <w:spacing w:line="600" w:lineRule="exact"/>
        <w:ind w:firstLine="640" w:firstLineChars="200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五、供应方资格条件：</w:t>
      </w:r>
    </w:p>
    <w:p w14:paraId="038F3D53">
      <w:pPr>
        <w:pStyle w:val="7"/>
        <w:spacing w:before="0" w:beforeAutospacing="0" w:after="0" w:afterAutospacing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1.必须具备《政府采购法》第二十二条规定的条件。</w:t>
      </w:r>
    </w:p>
    <w:p w14:paraId="01BC3706">
      <w:pPr>
        <w:pStyle w:val="7"/>
        <w:spacing w:before="0" w:beforeAutospacing="0" w:after="0" w:afterAutospacing="0" w:line="560" w:lineRule="exact"/>
        <w:ind w:firstLine="640" w:firstLineChars="200"/>
        <w:jc w:val="both"/>
        <w:rPr>
          <w:rFonts w:hint="default" w:ascii="仿宋_GB2312" w:hAnsi="仿宋_GB2312" w:eastAsia="仿宋_GB2312" w:cs="仿宋_GB2312"/>
          <w:color w:val="333333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2.参加供应商须提供企业资质，包括营业执照、食品经营许可证或食品生产许可证、法人身份证、被委托人身份证等复印件。提供上述材料复印件并加盖公章。</w:t>
      </w:r>
    </w:p>
    <w:p w14:paraId="5EE88773">
      <w:pPr>
        <w:spacing w:line="600" w:lineRule="exact"/>
        <w:ind w:firstLine="640" w:firstLineChars="200"/>
        <w:rPr>
          <w:rFonts w:ascii="黑体" w:hAnsi="黑体" w:eastAsia="黑体" w:cs="黑体"/>
          <w:bCs/>
          <w:sz w:val="32"/>
          <w:szCs w:val="32"/>
        </w:rPr>
      </w:pPr>
    </w:p>
    <w:p w14:paraId="01D85B38">
      <w:pPr>
        <w:spacing w:line="600" w:lineRule="exact"/>
        <w:ind w:firstLine="640" w:firstLineChars="200"/>
        <w:rPr>
          <w:rFonts w:ascii="黑体" w:hAnsi="黑体" w:eastAsia="黑体" w:cs="黑体"/>
          <w:bCs/>
          <w:sz w:val="32"/>
          <w:szCs w:val="32"/>
        </w:rPr>
      </w:pPr>
    </w:p>
    <w:p w14:paraId="7CB63A33">
      <w:pPr>
        <w:spacing w:line="600" w:lineRule="exact"/>
        <w:ind w:firstLine="640" w:firstLineChars="200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六、项目需求</w:t>
      </w:r>
    </w:p>
    <w:p w14:paraId="665D118D">
      <w:pPr>
        <w:spacing w:line="600" w:lineRule="exact"/>
        <w:ind w:firstLine="643" w:firstLineChars="200"/>
        <w:rPr>
          <w:rFonts w:eastAsia="方正仿宋_GB2312"/>
          <w:b/>
          <w:sz w:val="32"/>
          <w:szCs w:val="32"/>
        </w:rPr>
      </w:pPr>
    </w:p>
    <w:p w14:paraId="75D12824">
      <w:pPr>
        <w:spacing w:line="600" w:lineRule="exact"/>
        <w:ind w:firstLine="643" w:firstLineChars="200"/>
        <w:rPr>
          <w:rFonts w:eastAsia="方正仿宋_GB2312"/>
          <w:b/>
          <w:sz w:val="32"/>
          <w:szCs w:val="32"/>
        </w:rPr>
      </w:pPr>
      <w:r>
        <w:rPr>
          <w:rFonts w:eastAsia="方正仿宋_GB2312"/>
          <w:b/>
          <w:sz w:val="32"/>
          <w:szCs w:val="32"/>
        </w:rPr>
        <w:t>包一：</w:t>
      </w:r>
      <w:r>
        <w:rPr>
          <w:rFonts w:hint="eastAsia" w:eastAsia="方正仿宋_GB2312"/>
          <w:b/>
          <w:sz w:val="32"/>
          <w:szCs w:val="32"/>
        </w:rPr>
        <w:t>中秋</w:t>
      </w:r>
      <w:r>
        <w:rPr>
          <w:rFonts w:eastAsia="方正仿宋_GB2312"/>
          <w:b/>
          <w:sz w:val="32"/>
          <w:szCs w:val="32"/>
        </w:rPr>
        <w:t>月饼</w:t>
      </w:r>
    </w:p>
    <w:tbl>
      <w:tblPr>
        <w:tblStyle w:val="10"/>
        <w:tblW w:w="94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6"/>
        <w:gridCol w:w="3105"/>
        <w:gridCol w:w="645"/>
        <w:gridCol w:w="1170"/>
        <w:gridCol w:w="955"/>
        <w:gridCol w:w="1425"/>
        <w:gridCol w:w="1238"/>
      </w:tblGrid>
      <w:tr w14:paraId="325EB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  <w:jc w:val="center"/>
        </w:trPr>
        <w:tc>
          <w:tcPr>
            <w:tcW w:w="866" w:type="dxa"/>
            <w:vAlign w:val="center"/>
          </w:tcPr>
          <w:p w14:paraId="170D03AC">
            <w:pPr>
              <w:pStyle w:val="15"/>
              <w:spacing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采购项目</w:t>
            </w:r>
          </w:p>
        </w:tc>
        <w:tc>
          <w:tcPr>
            <w:tcW w:w="3105" w:type="dxa"/>
            <w:vAlign w:val="center"/>
          </w:tcPr>
          <w:p w14:paraId="10F54850">
            <w:pPr>
              <w:pStyle w:val="15"/>
              <w:spacing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规格及要求</w:t>
            </w:r>
          </w:p>
        </w:tc>
        <w:tc>
          <w:tcPr>
            <w:tcW w:w="645" w:type="dxa"/>
            <w:vAlign w:val="center"/>
          </w:tcPr>
          <w:p w14:paraId="532101BA">
            <w:pPr>
              <w:pStyle w:val="15"/>
              <w:spacing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单位</w:t>
            </w:r>
          </w:p>
        </w:tc>
        <w:tc>
          <w:tcPr>
            <w:tcW w:w="1170" w:type="dxa"/>
            <w:vAlign w:val="center"/>
          </w:tcPr>
          <w:p w14:paraId="33E1D55A">
            <w:pPr>
              <w:pStyle w:val="15"/>
              <w:spacing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预算单价（元）</w:t>
            </w:r>
          </w:p>
        </w:tc>
        <w:tc>
          <w:tcPr>
            <w:tcW w:w="955" w:type="dxa"/>
            <w:vAlign w:val="center"/>
          </w:tcPr>
          <w:p w14:paraId="3F2D9919">
            <w:pPr>
              <w:pStyle w:val="15"/>
              <w:spacing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  <w:t>预估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份数</w:t>
            </w:r>
          </w:p>
        </w:tc>
        <w:tc>
          <w:tcPr>
            <w:tcW w:w="1425" w:type="dxa"/>
            <w:vAlign w:val="center"/>
          </w:tcPr>
          <w:p w14:paraId="4552BF43">
            <w:pPr>
              <w:pStyle w:val="15"/>
              <w:spacing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预算总额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  <w:t>万元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1238" w:type="dxa"/>
            <w:vAlign w:val="center"/>
          </w:tcPr>
          <w:p w14:paraId="58EA4FA5">
            <w:pPr>
              <w:pStyle w:val="15"/>
              <w:spacing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评选</w:t>
            </w:r>
          </w:p>
          <w:p w14:paraId="218C2FA3">
            <w:pPr>
              <w:pStyle w:val="15"/>
              <w:spacing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方式</w:t>
            </w:r>
          </w:p>
        </w:tc>
      </w:tr>
      <w:tr w14:paraId="4277B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5" w:hRule="atLeast"/>
          <w:jc w:val="center"/>
        </w:trPr>
        <w:tc>
          <w:tcPr>
            <w:tcW w:w="866" w:type="dxa"/>
            <w:vAlign w:val="center"/>
          </w:tcPr>
          <w:p w14:paraId="1508F8E2">
            <w:pPr>
              <w:pStyle w:val="15"/>
              <w:spacing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月饼</w:t>
            </w:r>
          </w:p>
        </w:tc>
        <w:tc>
          <w:tcPr>
            <w:tcW w:w="3105" w:type="dxa"/>
          </w:tcPr>
          <w:p w14:paraId="7293AA2E">
            <w:pPr>
              <w:spacing w:line="400" w:lineRule="exact"/>
              <w:ind w:firstLine="560" w:firstLineChars="200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供应方一次提供不可更改的单套方案（口味包含且不限于：五仁、蛋黄、豆沙、枣泥、水果等），方案包括商品品牌、名称、规格（克数、口味及配料）、数量（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块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）、市场售价等信息。商品采用塑封包装，外包装要有商品的详细信息（如：品名、配料表、生产日期、保质期、生产厂家等）。每人份配备相应外包装礼袋。商品为市面销售的大众熟知的品牌月饼。</w:t>
            </w:r>
            <w:bookmarkStart w:id="0" w:name="OLE_LINK2"/>
            <w:bookmarkStart w:id="1" w:name="OLE_LINK1"/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供应方须提供免费样品供评委品尝。</w:t>
            </w:r>
            <w:bookmarkEnd w:id="0"/>
            <w:bookmarkEnd w:id="1"/>
          </w:p>
        </w:tc>
        <w:tc>
          <w:tcPr>
            <w:tcW w:w="645" w:type="dxa"/>
            <w:vAlign w:val="center"/>
          </w:tcPr>
          <w:p w14:paraId="6076008B">
            <w:pPr>
              <w:pStyle w:val="15"/>
              <w:spacing w:line="560" w:lineRule="exact"/>
              <w:ind w:firstLine="0" w:firstLineChars="0"/>
              <w:jc w:val="center"/>
              <w:rPr>
                <w:rFonts w:eastAsia="方正仿宋_GB2312"/>
                <w:bCs/>
                <w:sz w:val="32"/>
                <w:szCs w:val="32"/>
              </w:rPr>
            </w:pPr>
            <w:r>
              <w:rPr>
                <w:rFonts w:eastAsia="方正仿宋_GB2312"/>
                <w:bCs/>
                <w:sz w:val="32"/>
                <w:szCs w:val="32"/>
              </w:rPr>
              <w:t>份</w:t>
            </w:r>
          </w:p>
        </w:tc>
        <w:tc>
          <w:tcPr>
            <w:tcW w:w="1170" w:type="dxa"/>
            <w:vAlign w:val="center"/>
          </w:tcPr>
          <w:p w14:paraId="5F4EF3AA">
            <w:pPr>
              <w:pStyle w:val="15"/>
              <w:spacing w:line="560" w:lineRule="exact"/>
              <w:ind w:firstLine="0" w:firstLineChars="0"/>
              <w:jc w:val="center"/>
              <w:rPr>
                <w:rFonts w:eastAsia="方正仿宋_GB2312"/>
                <w:bCs/>
                <w:sz w:val="32"/>
                <w:szCs w:val="32"/>
              </w:rPr>
            </w:pPr>
            <w:r>
              <w:rPr>
                <w:rFonts w:eastAsia="方正仿宋_GB2312"/>
                <w:bCs/>
                <w:sz w:val="32"/>
                <w:szCs w:val="32"/>
              </w:rPr>
              <w:t>100</w:t>
            </w:r>
          </w:p>
        </w:tc>
        <w:tc>
          <w:tcPr>
            <w:tcW w:w="955" w:type="dxa"/>
            <w:vAlign w:val="center"/>
          </w:tcPr>
          <w:p w14:paraId="38C03153">
            <w:pPr>
              <w:pStyle w:val="15"/>
              <w:spacing w:line="560" w:lineRule="exact"/>
              <w:ind w:firstLine="0" w:firstLineChars="0"/>
              <w:jc w:val="center"/>
              <w:rPr>
                <w:rFonts w:eastAsia="方正仿宋_GB2312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方正仿宋_GB2312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eastAsia="方正仿宋_GB2312"/>
                <w:bCs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eastAsia="方正仿宋_GB2312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425" w:type="dxa"/>
            <w:vAlign w:val="center"/>
          </w:tcPr>
          <w:p w14:paraId="24C84D8C">
            <w:pPr>
              <w:pStyle w:val="15"/>
              <w:spacing w:line="560" w:lineRule="exact"/>
              <w:ind w:firstLine="0" w:firstLineChars="0"/>
              <w:jc w:val="center"/>
              <w:rPr>
                <w:rFonts w:eastAsia="方正仿宋_GB2312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方正仿宋_GB2312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eastAsia="方正仿宋_GB2312"/>
                <w:bCs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238" w:type="dxa"/>
          </w:tcPr>
          <w:p w14:paraId="2CA16C65">
            <w:pPr>
              <w:spacing w:line="400" w:lineRule="exact"/>
              <w:ind w:firstLine="560" w:firstLineChars="200"/>
              <w:rPr>
                <w:rFonts w:eastAsia="方正仿宋_GB2312"/>
                <w:sz w:val="28"/>
                <w:szCs w:val="28"/>
              </w:rPr>
            </w:pPr>
            <w:r>
              <w:rPr>
                <w:rFonts w:eastAsia="方正仿宋_GB2312"/>
                <w:sz w:val="28"/>
                <w:szCs w:val="28"/>
              </w:rPr>
              <w:t>在</w:t>
            </w:r>
            <w:r>
              <w:rPr>
                <w:rFonts w:hint="eastAsia" w:eastAsia="方正仿宋_GB2312"/>
                <w:sz w:val="28"/>
                <w:szCs w:val="28"/>
                <w:lang w:val="en-US" w:eastAsia="zh-CN"/>
              </w:rPr>
              <w:t>审计</w:t>
            </w:r>
            <w:r>
              <w:rPr>
                <w:rFonts w:eastAsia="方正仿宋_GB2312"/>
                <w:sz w:val="28"/>
                <w:szCs w:val="28"/>
              </w:rPr>
              <w:t>监督下，评委现场品尝。结合商家方案，报价、数量、品种、口味等综合因素，采取匿名投票方式，得票最多者中选。</w:t>
            </w:r>
          </w:p>
          <w:p w14:paraId="3095C930">
            <w:pPr>
              <w:pStyle w:val="15"/>
              <w:spacing w:line="560" w:lineRule="exact"/>
              <w:ind w:firstLine="0" w:firstLineChars="0"/>
              <w:rPr>
                <w:rFonts w:eastAsia="方正仿宋_GB2312"/>
                <w:b/>
                <w:sz w:val="32"/>
                <w:szCs w:val="32"/>
              </w:rPr>
            </w:pPr>
          </w:p>
        </w:tc>
      </w:tr>
    </w:tbl>
    <w:p w14:paraId="45C02DC9">
      <w:pPr>
        <w:pStyle w:val="15"/>
        <w:spacing w:line="560" w:lineRule="exact"/>
        <w:ind w:firstLine="0" w:firstLineChars="0"/>
        <w:rPr>
          <w:rFonts w:eastAsia="方正仿宋_GB2312"/>
          <w:b/>
          <w:sz w:val="32"/>
          <w:szCs w:val="32"/>
        </w:rPr>
      </w:pPr>
    </w:p>
    <w:p w14:paraId="56D7EF3B">
      <w:pPr>
        <w:pStyle w:val="15"/>
        <w:spacing w:line="560" w:lineRule="exact"/>
        <w:ind w:firstLine="0" w:firstLineChars="0"/>
        <w:rPr>
          <w:rFonts w:eastAsia="方正仿宋_GB2312"/>
          <w:b/>
          <w:sz w:val="32"/>
          <w:szCs w:val="32"/>
        </w:rPr>
      </w:pPr>
    </w:p>
    <w:p w14:paraId="25B93963">
      <w:pPr>
        <w:pStyle w:val="15"/>
        <w:spacing w:line="560" w:lineRule="exact"/>
        <w:ind w:firstLine="0" w:firstLineChars="0"/>
        <w:rPr>
          <w:rFonts w:eastAsia="方正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包二：国庆慰问品</w:t>
      </w:r>
    </w:p>
    <w:p w14:paraId="2E3852FD">
      <w:pPr>
        <w:rPr>
          <w:rFonts w:eastAsia="方正仿宋_GB2312"/>
          <w:b/>
          <w:sz w:val="32"/>
          <w:szCs w:val="32"/>
        </w:rPr>
        <w:sectPr>
          <w:pgSz w:w="11906" w:h="16838"/>
          <w:pgMar w:top="2098" w:right="1474" w:bottom="1985" w:left="1588" w:header="851" w:footer="992" w:gutter="0"/>
          <w:cols w:space="425" w:num="1"/>
          <w:docGrid w:type="lines" w:linePitch="312" w:charSpace="0"/>
        </w:sectPr>
      </w:pPr>
    </w:p>
    <w:tbl>
      <w:tblPr>
        <w:tblStyle w:val="9"/>
        <w:tblW w:w="15838" w:type="dxa"/>
        <w:jc w:val="center"/>
        <w:tblLayout w:type="fixed"/>
        <w:tblCellMar>
          <w:top w:w="56" w:type="dxa"/>
          <w:left w:w="96" w:type="dxa"/>
          <w:bottom w:w="56" w:type="dxa"/>
          <w:right w:w="96" w:type="dxa"/>
        </w:tblCellMar>
      </w:tblPr>
      <w:tblGrid>
        <w:gridCol w:w="544"/>
        <w:gridCol w:w="658"/>
        <w:gridCol w:w="7377"/>
        <w:gridCol w:w="998"/>
        <w:gridCol w:w="772"/>
        <w:gridCol w:w="810"/>
        <w:gridCol w:w="1335"/>
        <w:gridCol w:w="3344"/>
      </w:tblGrid>
      <w:tr w14:paraId="394C36A4">
        <w:tblPrEx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1450" w:hRule="atLeast"/>
          <w:tblHeader/>
          <w:jc w:val="center"/>
        </w:trPr>
        <w:tc>
          <w:tcPr>
            <w:tcW w:w="5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4B796296">
            <w:pPr>
              <w:widowControl/>
              <w:snapToGrid w:val="0"/>
              <w:spacing w:line="0" w:lineRule="atLeast"/>
              <w:jc w:val="center"/>
              <w:rPr>
                <w:rFonts w:ascii="方正仿宋_GB2312" w:hAnsi="方正仿宋_GB2312" w:eastAsia="方正仿宋_GB2312"/>
                <w:b/>
                <w:color w:val="000000"/>
                <w:sz w:val="28"/>
              </w:rPr>
            </w:pPr>
            <w:r>
              <w:rPr>
                <w:rFonts w:hint="eastAsia" w:ascii="方正仿宋_GB2312" w:hAnsi="方正仿宋_GB2312" w:eastAsia="方正仿宋_GB2312"/>
                <w:b/>
                <w:color w:val="000000"/>
                <w:sz w:val="28"/>
              </w:rPr>
              <w:t>序号</w:t>
            </w:r>
          </w:p>
        </w:tc>
        <w:tc>
          <w:tcPr>
            <w:tcW w:w="6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762A687C">
            <w:pPr>
              <w:widowControl/>
              <w:snapToGrid w:val="0"/>
              <w:spacing w:line="0" w:lineRule="atLeast"/>
              <w:jc w:val="center"/>
              <w:rPr>
                <w:rFonts w:ascii="方正仿宋_GB2312" w:hAnsi="方正仿宋_GB2312" w:eastAsia="方正仿宋_GB2312"/>
                <w:b/>
                <w:color w:val="000000"/>
                <w:sz w:val="28"/>
              </w:rPr>
            </w:pPr>
            <w:r>
              <w:rPr>
                <w:rFonts w:hint="eastAsia" w:ascii="方正仿宋_GB2312" w:hAnsi="方正仿宋_GB2312" w:eastAsia="方正仿宋_GB2312"/>
                <w:b/>
                <w:color w:val="000000"/>
                <w:sz w:val="28"/>
              </w:rPr>
              <w:t>采购项目</w:t>
            </w:r>
          </w:p>
        </w:tc>
        <w:tc>
          <w:tcPr>
            <w:tcW w:w="737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5DD45018">
            <w:pPr>
              <w:widowControl/>
              <w:snapToGrid w:val="0"/>
              <w:spacing w:line="0" w:lineRule="atLeast"/>
              <w:jc w:val="center"/>
              <w:rPr>
                <w:rFonts w:ascii="方正仿宋_GB2312" w:hAnsi="方正仿宋_GB2312" w:eastAsia="方正仿宋_GB2312"/>
                <w:b/>
                <w:color w:val="000000"/>
                <w:sz w:val="28"/>
              </w:rPr>
            </w:pPr>
            <w:r>
              <w:rPr>
                <w:rFonts w:hint="eastAsia" w:ascii="方正仿宋_GB2312" w:hAnsi="方正仿宋_GB2312" w:eastAsia="方正仿宋_GB2312"/>
                <w:b/>
                <w:color w:val="000000"/>
                <w:sz w:val="28"/>
              </w:rPr>
              <w:t>采购项目规格及要求</w:t>
            </w:r>
          </w:p>
        </w:tc>
        <w:tc>
          <w:tcPr>
            <w:tcW w:w="99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197B01A1">
            <w:pPr>
              <w:widowControl/>
              <w:snapToGrid w:val="0"/>
              <w:spacing w:line="0" w:lineRule="atLeast"/>
              <w:jc w:val="center"/>
              <w:rPr>
                <w:rFonts w:ascii="方正仿宋_GB2312" w:hAnsi="方正仿宋_GB2312" w:eastAsia="方正仿宋_GB2312"/>
                <w:b/>
                <w:color w:val="000000"/>
                <w:sz w:val="28"/>
              </w:rPr>
            </w:pPr>
            <w:r>
              <w:rPr>
                <w:rFonts w:hint="eastAsia" w:ascii="方正仿宋_GB2312" w:hAnsi="方正仿宋_GB2312" w:eastAsia="方正仿宋_GB2312"/>
                <w:b/>
                <w:color w:val="000000"/>
                <w:sz w:val="28"/>
              </w:rPr>
              <w:t>单位</w:t>
            </w:r>
          </w:p>
        </w:tc>
        <w:tc>
          <w:tcPr>
            <w:tcW w:w="77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31FFB70D">
            <w:pPr>
              <w:widowControl/>
              <w:snapToGrid w:val="0"/>
              <w:spacing w:line="0" w:lineRule="atLeast"/>
              <w:jc w:val="center"/>
              <w:rPr>
                <w:rFonts w:ascii="方正仿宋_GB2312" w:hAnsi="方正仿宋_GB2312" w:eastAsia="方正仿宋_GB2312"/>
                <w:b/>
                <w:color w:val="000000"/>
                <w:sz w:val="28"/>
              </w:rPr>
            </w:pPr>
            <w:r>
              <w:rPr>
                <w:rFonts w:hint="eastAsia" w:ascii="方正仿宋_GB2312" w:hAnsi="方正仿宋_GB2312" w:eastAsia="方正仿宋_GB2312"/>
                <w:b/>
                <w:color w:val="000000"/>
                <w:sz w:val="28"/>
              </w:rPr>
              <w:t>预算单价</w:t>
            </w:r>
          </w:p>
          <w:p w14:paraId="2AFBDD24">
            <w:pPr>
              <w:widowControl/>
              <w:snapToGrid w:val="0"/>
              <w:spacing w:line="0" w:lineRule="atLeast"/>
              <w:jc w:val="center"/>
              <w:rPr>
                <w:rFonts w:ascii="方正仿宋_GB2312" w:hAnsi="方正仿宋_GB2312" w:eastAsia="方正仿宋_GB2312"/>
                <w:b/>
                <w:color w:val="000000"/>
                <w:sz w:val="28"/>
              </w:rPr>
            </w:pPr>
            <w:r>
              <w:rPr>
                <w:rFonts w:hint="eastAsia" w:ascii="方正仿宋_GB2312" w:hAnsi="方正仿宋_GB2312" w:eastAsia="方正仿宋_GB2312"/>
                <w:b/>
                <w:color w:val="000000"/>
                <w:sz w:val="28"/>
              </w:rPr>
              <w:t>（元）</w:t>
            </w:r>
          </w:p>
        </w:tc>
        <w:tc>
          <w:tcPr>
            <w:tcW w:w="81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65EF527A">
            <w:pPr>
              <w:widowControl/>
              <w:snapToGrid w:val="0"/>
              <w:spacing w:line="0" w:lineRule="atLeast"/>
              <w:jc w:val="center"/>
              <w:rPr>
                <w:rFonts w:ascii="方正仿宋_GB2312" w:hAnsi="方正仿宋_GB2312" w:eastAsia="方正仿宋_GB2312"/>
                <w:b/>
                <w:color w:val="000000"/>
                <w:sz w:val="28"/>
              </w:rPr>
            </w:pPr>
            <w:r>
              <w:rPr>
                <w:rFonts w:hint="eastAsia" w:ascii="方正仿宋_GB2312" w:hAnsi="方正仿宋_GB2312" w:eastAsia="方正仿宋_GB2312"/>
                <w:b/>
                <w:color w:val="000000"/>
                <w:sz w:val="28"/>
                <w:lang w:val="en-US" w:eastAsia="zh-CN"/>
              </w:rPr>
              <w:t>预估</w:t>
            </w:r>
            <w:r>
              <w:rPr>
                <w:rFonts w:hint="eastAsia" w:ascii="方正仿宋_GB2312" w:hAnsi="方正仿宋_GB2312" w:eastAsia="方正仿宋_GB2312"/>
                <w:b/>
                <w:color w:val="000000"/>
                <w:sz w:val="28"/>
              </w:rPr>
              <w:t>份数</w:t>
            </w:r>
          </w:p>
        </w:tc>
        <w:tc>
          <w:tcPr>
            <w:tcW w:w="133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51C81AE5">
            <w:pPr>
              <w:pStyle w:val="15"/>
              <w:snapToGrid w:val="0"/>
              <w:spacing w:line="560" w:lineRule="exact"/>
              <w:ind w:firstLine="0" w:firstLineChars="0"/>
              <w:jc w:val="center"/>
              <w:rPr>
                <w:rFonts w:ascii="方正仿宋_GB2312" w:hAnsi="方正仿宋_GB2312" w:eastAsia="方正仿宋_GB2312" w:cs="宋体"/>
                <w:b/>
                <w:color w:val="000000"/>
                <w:sz w:val="28"/>
              </w:rPr>
            </w:pPr>
            <w:r>
              <w:rPr>
                <w:rFonts w:hint="eastAsia" w:ascii="方正仿宋_GB2312" w:hAnsi="方正仿宋_GB2312" w:eastAsia="方正仿宋_GB2312" w:cs="宋体"/>
                <w:b/>
                <w:color w:val="000000"/>
                <w:sz w:val="28"/>
              </w:rPr>
              <w:t>预算总额</w:t>
            </w:r>
          </w:p>
          <w:p w14:paraId="3E54D5DF">
            <w:pPr>
              <w:pStyle w:val="15"/>
              <w:snapToGrid w:val="0"/>
              <w:spacing w:line="560" w:lineRule="exact"/>
              <w:ind w:firstLine="0" w:firstLineChars="0"/>
              <w:jc w:val="center"/>
              <w:rPr>
                <w:rFonts w:ascii="方正仿宋_GB2312" w:hAnsi="方正仿宋_GB2312" w:eastAsia="方正仿宋_GB2312" w:cs="宋体"/>
                <w:b/>
                <w:color w:val="000000"/>
                <w:sz w:val="28"/>
              </w:rPr>
            </w:pPr>
            <w:r>
              <w:rPr>
                <w:rFonts w:hint="eastAsia" w:ascii="方正仿宋_GB2312" w:hAnsi="方正仿宋_GB2312" w:eastAsia="方正仿宋_GB2312" w:cs="宋体"/>
                <w:b/>
                <w:color w:val="000000"/>
                <w:sz w:val="28"/>
              </w:rPr>
              <w:t>（万元）</w:t>
            </w:r>
          </w:p>
        </w:tc>
        <w:tc>
          <w:tcPr>
            <w:tcW w:w="33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4EDDE174">
            <w:pPr>
              <w:widowControl/>
              <w:snapToGrid w:val="0"/>
              <w:spacing w:line="0" w:lineRule="atLeast"/>
              <w:jc w:val="center"/>
              <w:rPr>
                <w:rFonts w:ascii="方正仿宋_GB2312" w:hAnsi="方正仿宋_GB2312" w:eastAsia="方正仿宋_GB2312"/>
                <w:b/>
                <w:color w:val="000000"/>
                <w:sz w:val="28"/>
              </w:rPr>
            </w:pPr>
            <w:r>
              <w:rPr>
                <w:rFonts w:hint="eastAsia" w:ascii="方正仿宋_GB2312" w:hAnsi="方正仿宋_GB2312" w:eastAsia="方正仿宋_GB2312"/>
                <w:b/>
                <w:color w:val="000000"/>
                <w:sz w:val="28"/>
              </w:rPr>
              <w:t>评选方式</w:t>
            </w:r>
          </w:p>
        </w:tc>
      </w:tr>
      <w:tr w14:paraId="112D594B">
        <w:tblPrEx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jc w:val="center"/>
        </w:trPr>
        <w:tc>
          <w:tcPr>
            <w:tcW w:w="5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6DF285BE">
            <w:pPr>
              <w:widowControl/>
              <w:snapToGrid w:val="0"/>
              <w:spacing w:line="0" w:lineRule="atLeast"/>
              <w:jc w:val="center"/>
              <w:rPr>
                <w:rFonts w:ascii="方正仿宋_GB2312" w:hAnsi="方正仿宋_GB2312" w:eastAsia="方正仿宋_GB2312"/>
                <w:b/>
                <w:color w:val="000000"/>
                <w:sz w:val="28"/>
              </w:rPr>
            </w:pPr>
            <w:r>
              <w:rPr>
                <w:rFonts w:hint="eastAsia" w:ascii="方正仿宋_GB2312" w:hAnsi="方正仿宋_GB2312" w:eastAsia="方正仿宋_GB2312"/>
                <w:b/>
                <w:color w:val="000000"/>
                <w:sz w:val="28"/>
              </w:rPr>
              <w:t>1</w:t>
            </w:r>
          </w:p>
        </w:tc>
        <w:tc>
          <w:tcPr>
            <w:tcW w:w="6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39E843D9">
            <w:pPr>
              <w:widowControl/>
              <w:snapToGrid w:val="0"/>
              <w:spacing w:line="0" w:lineRule="atLeast"/>
              <w:jc w:val="center"/>
              <w:rPr>
                <w:rFonts w:ascii="方正仿宋_GB2312" w:hAnsi="方正仿宋_GB2312" w:eastAsia="方正仿宋_GB2312"/>
                <w:b/>
                <w:color w:val="000000"/>
                <w:sz w:val="28"/>
              </w:rPr>
            </w:pPr>
            <w:r>
              <w:rPr>
                <w:rFonts w:hint="eastAsia" w:ascii="方正仿宋_GB2312" w:hAnsi="方正仿宋_GB2312" w:eastAsia="方正仿宋_GB2312"/>
                <w:b/>
                <w:color w:val="000000"/>
                <w:sz w:val="28"/>
              </w:rPr>
              <w:t>牛奶</w:t>
            </w:r>
          </w:p>
        </w:tc>
        <w:tc>
          <w:tcPr>
            <w:tcW w:w="737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7A12E29A">
            <w:pPr>
              <w:widowControl/>
              <w:snapToGrid w:val="0"/>
              <w:spacing w:line="0" w:lineRule="atLeast"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有机纯牛奶，每箱牛奶总量不低于2400ml，可参考伊利金典、蒙牛特仑苏、完达山等品牌。须带样品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一箱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采购标准1箱/份。</w:t>
            </w:r>
          </w:p>
        </w:tc>
        <w:tc>
          <w:tcPr>
            <w:tcW w:w="99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30265C4F">
            <w:pPr>
              <w:pStyle w:val="15"/>
              <w:snapToGrid w:val="0"/>
              <w:spacing w:line="560" w:lineRule="exact"/>
              <w:ind w:firstLine="0" w:firstLineChars="0"/>
              <w:jc w:val="center"/>
              <w:rPr>
                <w:rFonts w:ascii="方正仿宋_GB2312" w:hAnsi="方正仿宋_GB2312" w:eastAsia="方正仿宋_GB2312"/>
                <w:b/>
                <w:color w:val="000000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32"/>
              </w:rPr>
              <w:t>箱</w:t>
            </w:r>
          </w:p>
        </w:tc>
        <w:tc>
          <w:tcPr>
            <w:tcW w:w="772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48BE6409">
            <w:pPr>
              <w:pStyle w:val="15"/>
              <w:snapToGrid w:val="0"/>
              <w:spacing w:line="560" w:lineRule="exact"/>
              <w:ind w:firstLine="0" w:firstLineChars="0"/>
              <w:jc w:val="center"/>
              <w:rPr>
                <w:rFonts w:hint="default" w:ascii="Times New Roman" w:hAnsi="Times New Roman" w:eastAsia="方正仿宋_GB2312" w:cs="Times New Roman"/>
                <w:b w:val="0"/>
                <w:bCs/>
                <w:color w:val="000000"/>
                <w:sz w:val="28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/>
                <w:color w:val="000000"/>
                <w:sz w:val="28"/>
              </w:rPr>
              <w:t>500</w:t>
            </w:r>
          </w:p>
        </w:tc>
        <w:tc>
          <w:tcPr>
            <w:tcW w:w="810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5B692629">
            <w:pPr>
              <w:pStyle w:val="15"/>
              <w:snapToGrid w:val="0"/>
              <w:spacing w:line="560" w:lineRule="exact"/>
              <w:ind w:firstLine="0" w:firstLineChars="0"/>
              <w:jc w:val="center"/>
              <w:rPr>
                <w:rFonts w:hint="default" w:ascii="Times New Roman" w:hAnsi="Times New Roman" w:eastAsia="方正仿宋_GB2312" w:cs="Times New Roman"/>
                <w:b w:val="0"/>
                <w:bCs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eastAsia="方正仿宋_GB2312" w:cs="Times New Roman"/>
                <w:b w:val="0"/>
                <w:bCs/>
                <w:color w:val="000000" w:themeColor="text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default" w:ascii="Times New Roman" w:hAnsi="Times New Roman" w:eastAsia="方正仿宋_GB2312" w:cs="Times New Roman"/>
                <w:b w:val="0"/>
                <w:bCs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335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1B29EEB2">
            <w:pPr>
              <w:pStyle w:val="15"/>
              <w:snapToGrid w:val="0"/>
              <w:spacing w:line="560" w:lineRule="exact"/>
              <w:ind w:firstLine="0" w:firstLineChars="0"/>
              <w:jc w:val="center"/>
              <w:rPr>
                <w:rFonts w:hint="default" w:ascii="Times New Roman" w:hAnsi="Times New Roman" w:eastAsia="方正仿宋_GB2312" w:cs="Times New Roman"/>
                <w:b w:val="0"/>
                <w:bCs/>
                <w:color w:val="000000" w:themeColor="text1"/>
                <w:sz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14</w:t>
            </w:r>
            <w:r>
              <w:rPr>
                <w:rFonts w:hint="default" w:ascii="Times New Roman" w:hAnsi="Times New Roman" w:eastAsia="方正仿宋_GB2312" w:cs="Times New Roman"/>
                <w:b w:val="0"/>
                <w:bCs/>
                <w:color w:val="000000" w:themeColor="text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3344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50BB7426">
            <w:pPr>
              <w:snapToGrid w:val="0"/>
              <w:jc w:val="left"/>
              <w:rPr>
                <w:rFonts w:ascii="方正仿宋_GB2312" w:hAnsi="方正仿宋_GB2312" w:eastAsia="方正仿宋_GB2312"/>
                <w:b/>
                <w:color w:val="000000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在审计监督下，查看方案组合，采购小组结合商品的价格、品质等进行综合评定，采取匿名投票方式，得票最多者中选。</w:t>
            </w:r>
          </w:p>
        </w:tc>
      </w:tr>
      <w:tr w14:paraId="2FC1A808">
        <w:tblPrEx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jc w:val="center"/>
        </w:trPr>
        <w:tc>
          <w:tcPr>
            <w:tcW w:w="5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2DD6D602">
            <w:pPr>
              <w:snapToGrid w:val="0"/>
              <w:jc w:val="center"/>
              <w:rPr>
                <w:rFonts w:ascii="方正仿宋_GB2312" w:hAnsi="方正仿宋_GB2312" w:eastAsia="方正仿宋_GB2312"/>
                <w:b/>
                <w:color w:val="000000"/>
                <w:sz w:val="28"/>
              </w:rPr>
            </w:pPr>
            <w:r>
              <w:rPr>
                <w:rFonts w:hint="eastAsia" w:ascii="方正仿宋_GB2312" w:hAnsi="方正仿宋_GB2312" w:eastAsia="方正仿宋_GB2312"/>
                <w:b/>
                <w:color w:val="000000"/>
                <w:sz w:val="28"/>
              </w:rPr>
              <w:t>2</w:t>
            </w:r>
          </w:p>
        </w:tc>
        <w:tc>
          <w:tcPr>
            <w:tcW w:w="6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4DFB9877">
            <w:pPr>
              <w:snapToGrid w:val="0"/>
              <w:spacing w:line="400" w:lineRule="exact"/>
              <w:jc w:val="center"/>
              <w:rPr>
                <w:rFonts w:ascii="方正仿宋_GB2312" w:hAnsi="方正仿宋_GB2312" w:eastAsia="方正仿宋_GB2312"/>
                <w:b/>
                <w:color w:val="000000"/>
                <w:sz w:val="28"/>
              </w:rPr>
            </w:pPr>
            <w:r>
              <w:rPr>
                <w:rFonts w:hint="eastAsia" w:ascii="方正仿宋_GB2312" w:hAnsi="方正仿宋_GB2312" w:eastAsia="方正仿宋_GB2312"/>
                <w:b/>
                <w:color w:val="000000"/>
                <w:sz w:val="28"/>
              </w:rPr>
              <w:t>苹果</w:t>
            </w:r>
          </w:p>
        </w:tc>
        <w:tc>
          <w:tcPr>
            <w:tcW w:w="737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164E6335">
            <w:pPr>
              <w:snapToGrid w:val="0"/>
              <w:spacing w:line="440" w:lineRule="exact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参考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精品果类：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红富士、阿克苏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红玫瑰、嘎啦果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等。采购标准至少15斤/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箱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。供应方须带样品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一箱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提供免费样品供评委品尝。采购标准1箱/份。</w:t>
            </w:r>
          </w:p>
        </w:tc>
        <w:tc>
          <w:tcPr>
            <w:tcW w:w="99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0D28F7DA">
            <w:pPr>
              <w:pStyle w:val="15"/>
              <w:snapToGrid w:val="0"/>
              <w:spacing w:line="560" w:lineRule="exact"/>
              <w:ind w:firstLine="0" w:firstLineChars="0"/>
              <w:jc w:val="center"/>
              <w:rPr>
                <w:rFonts w:ascii="方正仿宋_GB2312" w:eastAsia="方正仿宋_GB2312"/>
                <w:bCs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32"/>
              </w:rPr>
              <w:t>箱</w:t>
            </w:r>
          </w:p>
        </w:tc>
        <w:tc>
          <w:tcPr>
            <w:tcW w:w="772" w:type="dxa"/>
            <w:vMerge w:val="continue"/>
            <w:tcBorders>
              <w:left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1A2B0593">
            <w:pPr>
              <w:pStyle w:val="15"/>
              <w:snapToGrid w:val="0"/>
              <w:spacing w:line="560" w:lineRule="exact"/>
              <w:ind w:firstLine="0" w:firstLineChars="0"/>
              <w:jc w:val="center"/>
              <w:rPr>
                <w:rFonts w:ascii="方正仿宋_GB2312" w:hAnsi="方正仿宋_GB2312" w:eastAsia="方正仿宋_GB2312" w:cs="宋体"/>
                <w:b/>
                <w:color w:val="000000"/>
                <w:sz w:val="28"/>
              </w:rPr>
            </w:pPr>
          </w:p>
        </w:tc>
        <w:tc>
          <w:tcPr>
            <w:tcW w:w="810" w:type="dxa"/>
            <w:vMerge w:val="continue"/>
            <w:tcBorders>
              <w:left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4AD409A9">
            <w:pPr>
              <w:pStyle w:val="15"/>
              <w:snapToGrid w:val="0"/>
              <w:spacing w:line="560" w:lineRule="exact"/>
              <w:ind w:firstLine="0" w:firstLineChars="0"/>
              <w:jc w:val="left"/>
              <w:rPr>
                <w:rFonts w:ascii="方正仿宋_GB2312" w:hAnsi="方正仿宋_GB2312" w:eastAsia="方正仿宋_GB2312" w:cs="宋体"/>
                <w:b/>
                <w:color w:val="000000"/>
                <w:sz w:val="28"/>
              </w:rPr>
            </w:pPr>
          </w:p>
        </w:tc>
        <w:tc>
          <w:tcPr>
            <w:tcW w:w="1335" w:type="dxa"/>
            <w:vMerge w:val="continue"/>
            <w:tcBorders>
              <w:left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49A0D040">
            <w:pPr>
              <w:pStyle w:val="15"/>
              <w:snapToGrid w:val="0"/>
              <w:spacing w:line="560" w:lineRule="exact"/>
              <w:ind w:firstLine="0" w:firstLineChars="0"/>
              <w:jc w:val="right"/>
              <w:rPr>
                <w:rFonts w:ascii="方正仿宋_GB2312" w:hAnsi="方正仿宋_GB2312" w:eastAsia="方正仿宋_GB2312" w:cs="宋体"/>
                <w:b/>
                <w:color w:val="000000"/>
                <w:sz w:val="28"/>
              </w:rPr>
            </w:pPr>
          </w:p>
        </w:tc>
        <w:tc>
          <w:tcPr>
            <w:tcW w:w="3344" w:type="dxa"/>
            <w:vMerge w:val="continue"/>
            <w:tcBorders>
              <w:left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42A5B601">
            <w:pPr>
              <w:snapToGrid w:val="0"/>
              <w:jc w:val="left"/>
              <w:rPr>
                <w:rFonts w:ascii="方正仿宋_GB2312" w:hAnsi="方正仿宋_GB2312" w:eastAsia="方正仿宋_GB2312"/>
                <w:b/>
                <w:color w:val="000000"/>
                <w:sz w:val="28"/>
              </w:rPr>
            </w:pPr>
          </w:p>
        </w:tc>
      </w:tr>
      <w:tr w14:paraId="14527995">
        <w:tblPrEx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jc w:val="center"/>
        </w:trPr>
        <w:tc>
          <w:tcPr>
            <w:tcW w:w="5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408EFA85">
            <w:pPr>
              <w:snapToGrid w:val="0"/>
              <w:jc w:val="center"/>
              <w:rPr>
                <w:rFonts w:ascii="方正仿宋_GB2312" w:hAnsi="方正仿宋_GB2312" w:eastAsia="方正仿宋_GB2312"/>
                <w:b/>
                <w:color w:val="000000"/>
                <w:sz w:val="28"/>
              </w:rPr>
            </w:pPr>
            <w:r>
              <w:rPr>
                <w:rFonts w:hint="eastAsia" w:ascii="方正仿宋_GB2312" w:hAnsi="方正仿宋_GB2312" w:eastAsia="方正仿宋_GB2312"/>
                <w:b/>
                <w:color w:val="000000"/>
                <w:sz w:val="28"/>
              </w:rPr>
              <w:t>3</w:t>
            </w:r>
          </w:p>
        </w:tc>
        <w:tc>
          <w:tcPr>
            <w:tcW w:w="6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1032CD2E">
            <w:pPr>
              <w:snapToGrid w:val="0"/>
              <w:spacing w:line="400" w:lineRule="exact"/>
              <w:jc w:val="center"/>
              <w:rPr>
                <w:rFonts w:ascii="方正仿宋_GB2312" w:hAnsi="方正仿宋_GB2312" w:eastAsia="方正仿宋_GB2312"/>
                <w:b/>
                <w:color w:val="000000"/>
                <w:sz w:val="28"/>
              </w:rPr>
            </w:pPr>
            <w:r>
              <w:rPr>
                <w:rFonts w:hint="eastAsia" w:ascii="方正仿宋_GB2312" w:hAnsi="方正仿宋_GB2312" w:eastAsia="方正仿宋_GB2312"/>
                <w:b/>
                <w:color w:val="000000"/>
                <w:sz w:val="28"/>
              </w:rPr>
              <w:t>花生油</w:t>
            </w:r>
          </w:p>
        </w:tc>
        <w:tc>
          <w:tcPr>
            <w:tcW w:w="737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662E953E">
            <w:pPr>
              <w:pStyle w:val="15"/>
              <w:snapToGrid w:val="0"/>
              <w:spacing w:line="400" w:lineRule="exact"/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  <w:b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一级压榨，规格5L/桶，参考品牌：鲁花、九三、西王、福临门，胡姬花等。须带1桶花生油样品。采购标准1桶/份。</w:t>
            </w:r>
          </w:p>
        </w:tc>
        <w:tc>
          <w:tcPr>
            <w:tcW w:w="99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01D9EC62">
            <w:pPr>
              <w:pStyle w:val="15"/>
              <w:snapToGrid w:val="0"/>
              <w:spacing w:line="560" w:lineRule="exact"/>
              <w:ind w:firstLine="0" w:firstLineChars="0"/>
              <w:jc w:val="center"/>
              <w:rPr>
                <w:rFonts w:ascii="方正仿宋_GB2312" w:eastAsia="方正仿宋_GB2312"/>
                <w:b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</w:rPr>
              <w:t>5L/桶</w:t>
            </w:r>
          </w:p>
        </w:tc>
        <w:tc>
          <w:tcPr>
            <w:tcW w:w="772" w:type="dxa"/>
            <w:vMerge w:val="continue"/>
            <w:tcBorders>
              <w:left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1AF9AA8C">
            <w:pPr>
              <w:pStyle w:val="15"/>
              <w:snapToGrid w:val="0"/>
              <w:spacing w:line="560" w:lineRule="exact"/>
              <w:ind w:firstLine="0" w:firstLineChars="0"/>
              <w:jc w:val="center"/>
              <w:rPr>
                <w:rFonts w:ascii="方正仿宋_GB2312" w:hAnsi="方正仿宋_GB2312" w:eastAsia="方正仿宋_GB2312" w:cs="宋体"/>
                <w:b/>
                <w:color w:val="000000"/>
                <w:sz w:val="28"/>
              </w:rPr>
            </w:pPr>
          </w:p>
        </w:tc>
        <w:tc>
          <w:tcPr>
            <w:tcW w:w="810" w:type="dxa"/>
            <w:vMerge w:val="continue"/>
            <w:tcBorders>
              <w:left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53FC9459">
            <w:pPr>
              <w:pStyle w:val="15"/>
              <w:snapToGrid w:val="0"/>
              <w:spacing w:line="560" w:lineRule="exact"/>
              <w:ind w:firstLine="0" w:firstLineChars="0"/>
              <w:jc w:val="left"/>
              <w:rPr>
                <w:rFonts w:ascii="方正仿宋_GB2312" w:hAnsi="方正仿宋_GB2312" w:eastAsia="方正仿宋_GB2312" w:cs="宋体"/>
                <w:b/>
                <w:color w:val="000000"/>
                <w:sz w:val="28"/>
              </w:rPr>
            </w:pPr>
          </w:p>
        </w:tc>
        <w:tc>
          <w:tcPr>
            <w:tcW w:w="1335" w:type="dxa"/>
            <w:vMerge w:val="continue"/>
            <w:tcBorders>
              <w:left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0F91301B">
            <w:pPr>
              <w:pStyle w:val="15"/>
              <w:snapToGrid w:val="0"/>
              <w:spacing w:line="560" w:lineRule="exact"/>
              <w:ind w:firstLine="0" w:firstLineChars="0"/>
              <w:jc w:val="right"/>
              <w:rPr>
                <w:rFonts w:ascii="方正仿宋_GB2312" w:hAnsi="方正仿宋_GB2312" w:eastAsia="方正仿宋_GB2312" w:cs="宋体"/>
                <w:b/>
                <w:color w:val="000000"/>
                <w:sz w:val="28"/>
              </w:rPr>
            </w:pPr>
          </w:p>
        </w:tc>
        <w:tc>
          <w:tcPr>
            <w:tcW w:w="3344" w:type="dxa"/>
            <w:vMerge w:val="continue"/>
            <w:tcBorders>
              <w:left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5C302CC6">
            <w:pPr>
              <w:snapToGrid w:val="0"/>
              <w:jc w:val="left"/>
              <w:rPr>
                <w:rFonts w:ascii="方正仿宋_GB2312" w:hAnsi="方正仿宋_GB2312" w:eastAsia="方正仿宋_GB2312"/>
                <w:b/>
                <w:color w:val="000000"/>
                <w:sz w:val="28"/>
              </w:rPr>
            </w:pPr>
          </w:p>
        </w:tc>
      </w:tr>
      <w:tr w14:paraId="0F80BF51">
        <w:tblPrEx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jc w:val="center"/>
        </w:trPr>
        <w:tc>
          <w:tcPr>
            <w:tcW w:w="5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691DCF95">
            <w:pPr>
              <w:snapToGrid w:val="0"/>
              <w:jc w:val="center"/>
              <w:rPr>
                <w:rFonts w:ascii="方正仿宋_GB2312" w:hAnsi="方正仿宋_GB2312" w:eastAsia="方正仿宋_GB2312"/>
                <w:b/>
                <w:color w:val="000000"/>
                <w:sz w:val="28"/>
              </w:rPr>
            </w:pPr>
            <w:r>
              <w:rPr>
                <w:rFonts w:hint="eastAsia" w:ascii="方正仿宋_GB2312" w:hAnsi="方正仿宋_GB2312" w:eastAsia="方正仿宋_GB2312"/>
                <w:b/>
                <w:color w:val="000000"/>
                <w:sz w:val="28"/>
              </w:rPr>
              <w:t>4</w:t>
            </w:r>
          </w:p>
        </w:tc>
        <w:tc>
          <w:tcPr>
            <w:tcW w:w="6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11B4BF97">
            <w:pPr>
              <w:snapToGrid w:val="0"/>
              <w:spacing w:line="400" w:lineRule="exact"/>
              <w:jc w:val="center"/>
              <w:rPr>
                <w:rFonts w:ascii="方正仿宋_GB2312" w:hAnsi="方正仿宋_GB2312" w:eastAsia="方正仿宋_GB2312"/>
                <w:b/>
                <w:color w:val="000000"/>
                <w:sz w:val="28"/>
              </w:rPr>
            </w:pPr>
            <w:r>
              <w:rPr>
                <w:rFonts w:hint="eastAsia" w:ascii="方正仿宋_GB2312" w:hAnsi="方正仿宋_GB2312" w:eastAsia="方正仿宋_GB2312"/>
                <w:b/>
                <w:color w:val="000000"/>
                <w:sz w:val="28"/>
              </w:rPr>
              <w:t>熟食</w:t>
            </w:r>
          </w:p>
        </w:tc>
        <w:tc>
          <w:tcPr>
            <w:tcW w:w="737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242C7F50">
            <w:pPr>
              <w:snapToGrid w:val="0"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b/>
                <w:sz w:val="28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熟食组合（包含以下品类且不限于：红肠500g*1、肉枣肠500g*1、烧鸡750g*1、小肚400至500g*1、干肠250g*1等），商品采用真空塑封包装，每人份配备相应外包装礼盒。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商品为市面销售的大众熟知的品牌，参考品牌秋林里道斯、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裕丰、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哈肉联、哈八珍、一手店等。外包装要有商品的详细信息。如：品名、配料表、生产日期、保质期、生产厂家等。供应方须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带样品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一箱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提供免费样品供评委品尝。采购标准1箱/份</w:t>
            </w:r>
            <w:r>
              <w:rPr>
                <w:rFonts w:hint="eastAsia" w:ascii="仿宋_GB2312" w:hAnsi="仿宋_GB2312" w:eastAsia="仿宋_GB2312" w:cs="仿宋_GB2312"/>
                <w:sz w:val="28"/>
                <w:szCs w:val="32"/>
              </w:rPr>
              <w:t>。</w:t>
            </w:r>
          </w:p>
        </w:tc>
        <w:tc>
          <w:tcPr>
            <w:tcW w:w="99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0C1F943A">
            <w:pPr>
              <w:pStyle w:val="15"/>
              <w:snapToGrid w:val="0"/>
              <w:spacing w:line="560" w:lineRule="exact"/>
              <w:ind w:firstLine="0" w:firstLineChars="0"/>
              <w:jc w:val="center"/>
              <w:rPr>
                <w:rFonts w:ascii="方正仿宋_GB2312" w:eastAsia="方正仿宋_GB2312"/>
                <w:bCs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</w:rPr>
              <w:t>箱</w:t>
            </w:r>
          </w:p>
        </w:tc>
        <w:tc>
          <w:tcPr>
            <w:tcW w:w="772" w:type="dxa"/>
            <w:vMerge w:val="continue"/>
            <w:tcBorders>
              <w:left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6CA0AEFC">
            <w:pPr>
              <w:pStyle w:val="15"/>
              <w:snapToGrid w:val="0"/>
              <w:spacing w:line="560" w:lineRule="exact"/>
              <w:ind w:firstLine="0" w:firstLineChars="0"/>
              <w:jc w:val="center"/>
              <w:rPr>
                <w:rFonts w:ascii="方正仿宋_GB2312" w:hAnsi="方正仿宋_GB2312" w:eastAsia="方正仿宋_GB2312" w:cs="宋体"/>
                <w:b/>
                <w:color w:val="000000"/>
                <w:sz w:val="28"/>
              </w:rPr>
            </w:pPr>
          </w:p>
        </w:tc>
        <w:tc>
          <w:tcPr>
            <w:tcW w:w="810" w:type="dxa"/>
            <w:vMerge w:val="continue"/>
            <w:tcBorders>
              <w:left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0BA20DB1">
            <w:pPr>
              <w:pStyle w:val="15"/>
              <w:snapToGrid w:val="0"/>
              <w:spacing w:line="560" w:lineRule="exact"/>
              <w:ind w:firstLine="0" w:firstLineChars="0"/>
              <w:jc w:val="left"/>
              <w:rPr>
                <w:rFonts w:ascii="方正仿宋_GB2312" w:eastAsia="方正仿宋_GB2312"/>
                <w:bCs/>
                <w:sz w:val="28"/>
                <w:szCs w:val="32"/>
              </w:rPr>
            </w:pPr>
          </w:p>
        </w:tc>
        <w:tc>
          <w:tcPr>
            <w:tcW w:w="1335" w:type="dxa"/>
            <w:vMerge w:val="continue"/>
            <w:tcBorders>
              <w:left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6515D4D3">
            <w:pPr>
              <w:pStyle w:val="15"/>
              <w:snapToGrid w:val="0"/>
              <w:spacing w:line="560" w:lineRule="exact"/>
              <w:ind w:firstLine="0" w:firstLineChars="0"/>
              <w:jc w:val="right"/>
              <w:rPr>
                <w:rFonts w:ascii="方正仿宋_GB2312" w:hAnsi="方正仿宋_GB2312" w:eastAsia="方正仿宋_GB2312" w:cs="宋体"/>
                <w:b/>
                <w:color w:val="000000"/>
                <w:sz w:val="28"/>
              </w:rPr>
            </w:pPr>
          </w:p>
        </w:tc>
        <w:tc>
          <w:tcPr>
            <w:tcW w:w="3344" w:type="dxa"/>
            <w:vMerge w:val="continue"/>
            <w:tcBorders>
              <w:left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57F7BAD3">
            <w:pPr>
              <w:pStyle w:val="15"/>
              <w:snapToGrid w:val="0"/>
              <w:spacing w:line="560" w:lineRule="exact"/>
              <w:ind w:firstLine="0" w:firstLineChars="0"/>
              <w:jc w:val="left"/>
              <w:rPr>
                <w:rFonts w:ascii="方正仿宋_GB2312" w:eastAsia="方正仿宋_GB2312"/>
                <w:b/>
                <w:sz w:val="28"/>
                <w:szCs w:val="32"/>
              </w:rPr>
            </w:pPr>
          </w:p>
        </w:tc>
      </w:tr>
      <w:tr w14:paraId="454B7963">
        <w:tblPrEx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jc w:val="center"/>
        </w:trPr>
        <w:tc>
          <w:tcPr>
            <w:tcW w:w="5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000C8B2F">
            <w:pPr>
              <w:snapToGrid w:val="0"/>
              <w:jc w:val="center"/>
              <w:rPr>
                <w:rFonts w:ascii="方正仿宋_GB2312" w:hAnsi="方正仿宋_GB2312" w:eastAsia="方正仿宋_GB2312"/>
                <w:b/>
                <w:color w:val="000000"/>
                <w:sz w:val="28"/>
              </w:rPr>
            </w:pPr>
            <w:r>
              <w:rPr>
                <w:rFonts w:hint="eastAsia" w:ascii="方正仿宋_GB2312" w:hAnsi="方正仿宋_GB2312" w:eastAsia="方正仿宋_GB2312"/>
                <w:b/>
                <w:color w:val="000000"/>
                <w:sz w:val="28"/>
              </w:rPr>
              <w:t>5</w:t>
            </w:r>
          </w:p>
        </w:tc>
        <w:tc>
          <w:tcPr>
            <w:tcW w:w="6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49C8D5DF">
            <w:pPr>
              <w:snapToGrid w:val="0"/>
              <w:spacing w:line="400" w:lineRule="exact"/>
              <w:jc w:val="center"/>
              <w:rPr>
                <w:rFonts w:ascii="方正仿宋_GB2312" w:hAnsi="方正仿宋_GB2312" w:eastAsia="方正仿宋_GB2312"/>
                <w:b/>
                <w:color w:val="000000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</w:rPr>
              <w:t>其他</w:t>
            </w:r>
          </w:p>
        </w:tc>
        <w:tc>
          <w:tcPr>
            <w:tcW w:w="737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77EBCFF9">
            <w:pPr>
              <w:snapToGrid w:val="0"/>
              <w:spacing w:line="400" w:lineRule="exact"/>
              <w:jc w:val="left"/>
              <w:rPr>
                <w:rFonts w:ascii="方正仿宋_GB2312" w:eastAsia="方正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可自由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提供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一种及以上，原则为生活中优质品牌食品。</w:t>
            </w:r>
          </w:p>
        </w:tc>
        <w:tc>
          <w:tcPr>
            <w:tcW w:w="99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4254D822">
            <w:pPr>
              <w:pStyle w:val="15"/>
              <w:snapToGrid w:val="0"/>
              <w:spacing w:line="560" w:lineRule="exact"/>
              <w:ind w:firstLine="0" w:firstLineChars="0"/>
              <w:jc w:val="center"/>
              <w:rPr>
                <w:rFonts w:ascii="方正仿宋_GB2312" w:eastAsia="方正仿宋_GB2312"/>
                <w:bCs/>
                <w:sz w:val="28"/>
                <w:szCs w:val="32"/>
              </w:rPr>
            </w:pPr>
            <w:r>
              <w:rPr>
                <w:rFonts w:hint="eastAsia" w:ascii="方正仿宋_GB2312" w:eastAsia="方正仿宋_GB2312"/>
                <w:bCs/>
                <w:sz w:val="28"/>
                <w:szCs w:val="32"/>
              </w:rPr>
              <w:t>/</w:t>
            </w:r>
          </w:p>
        </w:tc>
        <w:tc>
          <w:tcPr>
            <w:tcW w:w="772" w:type="dxa"/>
            <w:vMerge w:val="continue"/>
            <w:tcBorders>
              <w:left w:val="single" w:color="auto" w:sz="12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51817322">
            <w:pPr>
              <w:pStyle w:val="15"/>
              <w:snapToGrid w:val="0"/>
              <w:spacing w:line="560" w:lineRule="exact"/>
              <w:ind w:firstLine="0" w:firstLineChars="0"/>
              <w:jc w:val="center"/>
              <w:rPr>
                <w:rFonts w:ascii="方正仿宋_GB2312" w:hAnsi="方正仿宋_GB2312" w:eastAsia="方正仿宋_GB2312" w:cs="宋体"/>
                <w:b/>
                <w:color w:val="000000"/>
                <w:sz w:val="28"/>
              </w:rPr>
            </w:pPr>
          </w:p>
        </w:tc>
        <w:tc>
          <w:tcPr>
            <w:tcW w:w="810" w:type="dxa"/>
            <w:vMerge w:val="continue"/>
            <w:tcBorders>
              <w:left w:val="single" w:color="auto" w:sz="12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12F0CD88">
            <w:pPr>
              <w:pStyle w:val="15"/>
              <w:snapToGrid w:val="0"/>
              <w:spacing w:line="560" w:lineRule="exact"/>
              <w:ind w:firstLine="0" w:firstLineChars="0"/>
              <w:jc w:val="left"/>
              <w:rPr>
                <w:rFonts w:ascii="方正仿宋_GB2312" w:eastAsia="方正仿宋_GB2312"/>
                <w:bCs/>
                <w:sz w:val="28"/>
                <w:szCs w:val="32"/>
              </w:rPr>
            </w:pPr>
          </w:p>
        </w:tc>
        <w:tc>
          <w:tcPr>
            <w:tcW w:w="1335" w:type="dxa"/>
            <w:vMerge w:val="continue"/>
            <w:tcBorders>
              <w:left w:val="single" w:color="auto" w:sz="12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24C3FA13">
            <w:pPr>
              <w:pStyle w:val="15"/>
              <w:snapToGrid w:val="0"/>
              <w:spacing w:line="560" w:lineRule="exact"/>
              <w:ind w:firstLine="0" w:firstLineChars="0"/>
              <w:jc w:val="right"/>
              <w:rPr>
                <w:rFonts w:ascii="方正仿宋_GB2312" w:hAnsi="方正仿宋_GB2312" w:eastAsia="方正仿宋_GB2312" w:cs="宋体"/>
                <w:b/>
                <w:color w:val="000000"/>
                <w:sz w:val="28"/>
              </w:rPr>
            </w:pPr>
          </w:p>
        </w:tc>
        <w:tc>
          <w:tcPr>
            <w:tcW w:w="334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7318CC50">
            <w:pPr>
              <w:pStyle w:val="15"/>
              <w:snapToGrid w:val="0"/>
              <w:spacing w:line="560" w:lineRule="exact"/>
              <w:ind w:firstLine="0" w:firstLineChars="0"/>
              <w:jc w:val="left"/>
              <w:rPr>
                <w:rFonts w:ascii="方正仿宋_GB2312" w:eastAsia="方正仿宋_GB2312"/>
                <w:b/>
                <w:sz w:val="28"/>
                <w:szCs w:val="32"/>
              </w:rPr>
            </w:pPr>
          </w:p>
        </w:tc>
      </w:tr>
    </w:tbl>
    <w:p w14:paraId="5D4B5FA6">
      <w:pPr>
        <w:rPr>
          <w:rFonts w:eastAsia="方正仿宋_GB2312"/>
          <w:b/>
          <w:sz w:val="32"/>
          <w:szCs w:val="32"/>
        </w:rPr>
        <w:sectPr>
          <w:pgSz w:w="16838" w:h="11906" w:orient="landscape"/>
          <w:pgMar w:top="1134" w:right="567" w:bottom="283" w:left="567" w:header="851" w:footer="992" w:gutter="0"/>
          <w:cols w:space="0" w:num="1"/>
          <w:docGrid w:type="lines" w:linePitch="312" w:charSpace="0"/>
        </w:sectPr>
      </w:pPr>
    </w:p>
    <w:p w14:paraId="4676EB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备注：</w:t>
      </w:r>
    </w:p>
    <w:p w14:paraId="1071ECF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投标方在满足以上四种商品（牛奶、花生油、苹果、熟食）质量和数量的前提下可增加其他商品，并在投标方案中体现，商品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品名、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品牌、规格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数量、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市场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单价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总价及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最终报价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等信息。套餐价格不得低于500元/份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7494863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311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所提供商品报价不可虚高，一旦发现，取消投、中标资格。</w:t>
      </w:r>
    </w:p>
    <w:p w14:paraId="7835A9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1607" w:leftChars="306" w:hanging="964" w:hangingChars="3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七、</w:t>
      </w:r>
      <w:r>
        <w:rPr>
          <w:rFonts w:hint="eastAsia" w:ascii="黑体" w:hAnsi="黑体" w:eastAsia="黑体" w:cs="黑体"/>
          <w:sz w:val="32"/>
          <w:szCs w:val="32"/>
        </w:rPr>
        <w:t>报名须知</w:t>
      </w:r>
    </w:p>
    <w:p w14:paraId="393C8A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（一）中标价格为税后价格。</w:t>
      </w:r>
    </w:p>
    <w:p w14:paraId="6103A8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（二）报名时间：公告之日起至202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28</w:t>
      </w:r>
      <w:r>
        <w:rPr>
          <w:rFonts w:hint="eastAsia" w:ascii="仿宋_GB2312" w:hAnsi="仿宋_GB2312" w:eastAsia="仿宋_GB2312" w:cs="仿宋_GB2312"/>
          <w:sz w:val="32"/>
          <w:szCs w:val="32"/>
        </w:rPr>
        <w:t>日16时00分。超过报名期限，报名无效。邮箱报名：zl771012@sina.com，需要下载附件报名表，填写完整并加盖公章后上传PDF版至此邮箱，信息及报价统计表现场提交（加盖公章的原件一份，复印件11份）。</w:t>
      </w:r>
    </w:p>
    <w:p w14:paraId="0A8A91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（三）开标时间及地点：另行通知。</w:t>
      </w:r>
    </w:p>
    <w:p w14:paraId="1D4A28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（四）投标代表（法人或法人授权人）请在开标时间前半小时携带身份证到达会场签到（签到时查验身份证件）。</w:t>
      </w:r>
    </w:p>
    <w:p w14:paraId="032488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八、咨询电话：</w:t>
      </w:r>
    </w:p>
    <w:p w14:paraId="4631AA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采购办：0459-6612089</w:t>
      </w:r>
    </w:p>
    <w:p w14:paraId="58B45C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工  会：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0459-6612887</w:t>
      </w:r>
    </w:p>
    <w:p w14:paraId="785B78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2" w:name="_GoBack"/>
      <w:bookmarkEnd w:id="2"/>
    </w:p>
    <w:p w14:paraId="4E7C6A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附件1：报名申请表</w:t>
      </w:r>
    </w:p>
    <w:p w14:paraId="0B3982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附件2：中秋月饼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方案</w:t>
      </w:r>
      <w:r>
        <w:rPr>
          <w:rFonts w:hint="eastAsia" w:ascii="仿宋_GB2312" w:hAnsi="仿宋_GB2312" w:eastAsia="仿宋_GB2312" w:cs="仿宋_GB2312"/>
          <w:sz w:val="32"/>
          <w:szCs w:val="32"/>
        </w:rPr>
        <w:t>及报价统计表</w:t>
      </w:r>
    </w:p>
    <w:p w14:paraId="6FA5C0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附件3：国庆慰问品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方案</w:t>
      </w:r>
      <w:r>
        <w:rPr>
          <w:rFonts w:hint="eastAsia" w:ascii="仿宋_GB2312" w:hAnsi="仿宋_GB2312" w:eastAsia="仿宋_GB2312" w:cs="仿宋_GB2312"/>
          <w:sz w:val="32"/>
          <w:szCs w:val="32"/>
        </w:rPr>
        <w:t>及报价统计表</w:t>
      </w:r>
    </w:p>
    <w:p w14:paraId="413DFB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80" w:firstLineChars="1900"/>
        <w:textAlignment w:val="auto"/>
        <w:rPr>
          <w:rFonts w:eastAsia="方正仿宋_GB2312"/>
          <w:sz w:val="32"/>
          <w:szCs w:val="32"/>
        </w:rPr>
      </w:pPr>
      <w:r>
        <w:rPr>
          <w:rFonts w:eastAsia="方正仿宋_GB2312"/>
          <w:sz w:val="32"/>
          <w:szCs w:val="32"/>
        </w:rPr>
        <w:t>大庆市人民医院</w:t>
      </w:r>
    </w:p>
    <w:p w14:paraId="59D2FC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80" w:firstLineChars="1900"/>
        <w:textAlignment w:val="auto"/>
        <w:rPr>
          <w:rFonts w:eastAsia="方正仿宋_GB2312"/>
          <w:sz w:val="32"/>
          <w:szCs w:val="32"/>
        </w:rPr>
      </w:pPr>
      <w:r>
        <w:rPr>
          <w:rFonts w:eastAsia="方正仿宋_GB2312"/>
          <w:sz w:val="32"/>
          <w:szCs w:val="32"/>
        </w:rPr>
        <w:t>202</w:t>
      </w:r>
      <w:r>
        <w:rPr>
          <w:rFonts w:hint="eastAsia" w:eastAsia="方正仿宋_GB2312"/>
          <w:sz w:val="32"/>
          <w:szCs w:val="32"/>
          <w:lang w:val="en-US" w:eastAsia="zh-CN"/>
        </w:rPr>
        <w:t>6</w:t>
      </w:r>
      <w:r>
        <w:rPr>
          <w:rFonts w:eastAsia="方正仿宋_GB2312"/>
          <w:sz w:val="32"/>
          <w:szCs w:val="32"/>
        </w:rPr>
        <w:t>年</w:t>
      </w:r>
      <w:r>
        <w:rPr>
          <w:rFonts w:hint="eastAsia" w:eastAsia="方正仿宋_GB2312"/>
          <w:sz w:val="32"/>
          <w:szCs w:val="32"/>
          <w:lang w:val="en-US" w:eastAsia="zh-CN"/>
        </w:rPr>
        <w:t>8</w:t>
      </w:r>
      <w:r>
        <w:rPr>
          <w:rFonts w:eastAsia="方正仿宋_GB2312"/>
          <w:sz w:val="32"/>
          <w:szCs w:val="32"/>
        </w:rPr>
        <w:t>月</w:t>
      </w:r>
      <w:r>
        <w:rPr>
          <w:rFonts w:hint="eastAsia" w:eastAsia="方正仿宋_GB2312"/>
          <w:sz w:val="32"/>
          <w:szCs w:val="32"/>
          <w:lang w:val="en-US" w:eastAsia="zh-CN"/>
        </w:rPr>
        <w:t>25</w:t>
      </w:r>
      <w:r>
        <w:rPr>
          <w:rFonts w:eastAsia="方正仿宋_GB2312"/>
          <w:sz w:val="32"/>
          <w:szCs w:val="32"/>
        </w:rPr>
        <w:t>日</w:t>
      </w:r>
    </w:p>
    <w:sectPr>
      <w:pgSz w:w="11906" w:h="16838"/>
      <w:pgMar w:top="2098" w:right="1474" w:bottom="141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1384C37-8AA4-4096-9A6A-1B751F5C789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AFCCC364-5C6F-4E1B-9583-23A3BB13A43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E8028107-85D3-46BC-81CE-A37EFB812A36}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1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E1MDMzZWJlMjYwNmJmNGQ2NjI4YjBmZTBmNGRkNGMifQ=="/>
  </w:docVars>
  <w:rsids>
    <w:rsidRoot w:val="00E41D67"/>
    <w:rsid w:val="00342EEF"/>
    <w:rsid w:val="00445E0E"/>
    <w:rsid w:val="009C337D"/>
    <w:rsid w:val="00E41D67"/>
    <w:rsid w:val="00FB3DAE"/>
    <w:rsid w:val="02897A0B"/>
    <w:rsid w:val="03520EC4"/>
    <w:rsid w:val="03537C68"/>
    <w:rsid w:val="049C7DEF"/>
    <w:rsid w:val="08517143"/>
    <w:rsid w:val="091F4B4B"/>
    <w:rsid w:val="09F84B6A"/>
    <w:rsid w:val="0A3D172D"/>
    <w:rsid w:val="0A93759F"/>
    <w:rsid w:val="0AC91212"/>
    <w:rsid w:val="0BCB2D68"/>
    <w:rsid w:val="0C7C3459"/>
    <w:rsid w:val="0C994C14"/>
    <w:rsid w:val="0C9C64B3"/>
    <w:rsid w:val="0D9A6E96"/>
    <w:rsid w:val="0FDC5544"/>
    <w:rsid w:val="1067736A"/>
    <w:rsid w:val="119B31DD"/>
    <w:rsid w:val="11BA18B5"/>
    <w:rsid w:val="11CE5360"/>
    <w:rsid w:val="12AF6F40"/>
    <w:rsid w:val="12B75DF4"/>
    <w:rsid w:val="14726477"/>
    <w:rsid w:val="154C6CC8"/>
    <w:rsid w:val="164200CB"/>
    <w:rsid w:val="18955D8E"/>
    <w:rsid w:val="18A4506D"/>
    <w:rsid w:val="1A146B50"/>
    <w:rsid w:val="1E7828DC"/>
    <w:rsid w:val="1EDD3086"/>
    <w:rsid w:val="1EDF0158"/>
    <w:rsid w:val="1EF328AA"/>
    <w:rsid w:val="216C24A0"/>
    <w:rsid w:val="226F7C8D"/>
    <w:rsid w:val="23305E7B"/>
    <w:rsid w:val="233348E9"/>
    <w:rsid w:val="23952182"/>
    <w:rsid w:val="23E32EED"/>
    <w:rsid w:val="256040C9"/>
    <w:rsid w:val="26867B60"/>
    <w:rsid w:val="26B04563"/>
    <w:rsid w:val="270E5AF6"/>
    <w:rsid w:val="280C22E7"/>
    <w:rsid w:val="295E6B72"/>
    <w:rsid w:val="2E293BF2"/>
    <w:rsid w:val="303E4DEF"/>
    <w:rsid w:val="319B4CC2"/>
    <w:rsid w:val="31CB55CE"/>
    <w:rsid w:val="356D222C"/>
    <w:rsid w:val="359758E5"/>
    <w:rsid w:val="35D02BA5"/>
    <w:rsid w:val="395835DE"/>
    <w:rsid w:val="39EE106C"/>
    <w:rsid w:val="3CB44FCF"/>
    <w:rsid w:val="3CD613E9"/>
    <w:rsid w:val="3DE4606D"/>
    <w:rsid w:val="3EDA6843"/>
    <w:rsid w:val="3EE651E8"/>
    <w:rsid w:val="3F9133A5"/>
    <w:rsid w:val="3FBC1D4A"/>
    <w:rsid w:val="40086045"/>
    <w:rsid w:val="41E00614"/>
    <w:rsid w:val="42091919"/>
    <w:rsid w:val="43244531"/>
    <w:rsid w:val="45BC6CA2"/>
    <w:rsid w:val="4678706D"/>
    <w:rsid w:val="46CD368E"/>
    <w:rsid w:val="482F4492"/>
    <w:rsid w:val="48F05981"/>
    <w:rsid w:val="4C4B687F"/>
    <w:rsid w:val="4DB85D23"/>
    <w:rsid w:val="4DD824F6"/>
    <w:rsid w:val="4DF416CF"/>
    <w:rsid w:val="4F4A3571"/>
    <w:rsid w:val="528C45CC"/>
    <w:rsid w:val="52D41ACF"/>
    <w:rsid w:val="546F34B0"/>
    <w:rsid w:val="54A11B56"/>
    <w:rsid w:val="54E0475B"/>
    <w:rsid w:val="559F4616"/>
    <w:rsid w:val="55EA592B"/>
    <w:rsid w:val="56A63783"/>
    <w:rsid w:val="56F265D3"/>
    <w:rsid w:val="574B60D8"/>
    <w:rsid w:val="58ED5E6B"/>
    <w:rsid w:val="593037D7"/>
    <w:rsid w:val="5A2A0227"/>
    <w:rsid w:val="5A673229"/>
    <w:rsid w:val="5B180953"/>
    <w:rsid w:val="5BBE50CA"/>
    <w:rsid w:val="5C427AAA"/>
    <w:rsid w:val="5C642116"/>
    <w:rsid w:val="5D02548B"/>
    <w:rsid w:val="5E8C14B0"/>
    <w:rsid w:val="5F4F1027"/>
    <w:rsid w:val="5F6E6E08"/>
    <w:rsid w:val="60F65306"/>
    <w:rsid w:val="6320666B"/>
    <w:rsid w:val="63892462"/>
    <w:rsid w:val="643E01C7"/>
    <w:rsid w:val="66E77BCB"/>
    <w:rsid w:val="68ED22ED"/>
    <w:rsid w:val="694C01BA"/>
    <w:rsid w:val="6A413A96"/>
    <w:rsid w:val="6C7C2B64"/>
    <w:rsid w:val="6CE64481"/>
    <w:rsid w:val="6E633C6D"/>
    <w:rsid w:val="6F35349E"/>
    <w:rsid w:val="6FFA0B20"/>
    <w:rsid w:val="701E2184"/>
    <w:rsid w:val="751B7B14"/>
    <w:rsid w:val="755307D3"/>
    <w:rsid w:val="7A20679F"/>
    <w:rsid w:val="7AEF3E06"/>
    <w:rsid w:val="7B2F3497"/>
    <w:rsid w:val="7C6F7FEF"/>
    <w:rsid w:val="7CB579CC"/>
    <w:rsid w:val="7D1961AD"/>
    <w:rsid w:val="7EF07AAE"/>
    <w:rsid w:val="7F6556D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accent1" w:t1="dark1" w:bg2="accent1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</w:style>
  <w:style w:type="paragraph" w:styleId="3">
    <w:name w:val="Date"/>
    <w:basedOn w:val="1"/>
    <w:next w:val="1"/>
    <w:link w:val="18"/>
    <w:qFormat/>
    <w:uiPriority w:val="0"/>
    <w:pPr>
      <w:ind w:left="100" w:leftChars="2500"/>
    </w:pPr>
  </w:style>
  <w:style w:type="paragraph" w:styleId="4">
    <w:name w:val="Balloon Text"/>
    <w:basedOn w:val="1"/>
    <w:link w:val="17"/>
    <w:qFormat/>
    <w:uiPriority w:val="99"/>
    <w:rPr>
      <w:sz w:val="18"/>
      <w:szCs w:val="18"/>
    </w:rPr>
  </w:style>
  <w:style w:type="paragraph" w:styleId="5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8">
    <w:name w:val="Body Text First Indent 2"/>
    <w:basedOn w:val="2"/>
    <w:qFormat/>
    <w:uiPriority w:val="0"/>
    <w:pPr>
      <w:ind w:firstLine="420" w:firstLineChars="200"/>
    </w:p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Strong"/>
    <w:basedOn w:val="11"/>
    <w:qFormat/>
    <w:uiPriority w:val="22"/>
    <w:rPr>
      <w:b/>
      <w:bCs/>
    </w:rPr>
  </w:style>
  <w:style w:type="character" w:customStyle="1" w:styleId="13">
    <w:name w:val="页眉 Char"/>
    <w:basedOn w:val="11"/>
    <w:link w:val="6"/>
    <w:qFormat/>
    <w:uiPriority w:val="99"/>
    <w:rPr>
      <w:kern w:val="2"/>
      <w:sz w:val="18"/>
      <w:szCs w:val="18"/>
    </w:rPr>
  </w:style>
  <w:style w:type="character" w:customStyle="1" w:styleId="14">
    <w:name w:val="页脚 Char"/>
    <w:basedOn w:val="11"/>
    <w:link w:val="5"/>
    <w:qFormat/>
    <w:uiPriority w:val="99"/>
    <w:rPr>
      <w:kern w:val="2"/>
      <w:sz w:val="18"/>
      <w:szCs w:val="18"/>
    </w:rPr>
  </w:style>
  <w:style w:type="paragraph" w:customStyle="1" w:styleId="15">
    <w:name w:val="列出段落1"/>
    <w:basedOn w:val="1"/>
    <w:qFormat/>
    <w:uiPriority w:val="99"/>
    <w:pPr>
      <w:ind w:firstLine="420" w:firstLineChars="200"/>
    </w:pPr>
  </w:style>
  <w:style w:type="paragraph" w:customStyle="1" w:styleId="16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7">
    <w:name w:val="批注框文本 Char"/>
    <w:basedOn w:val="11"/>
    <w:link w:val="4"/>
    <w:qFormat/>
    <w:uiPriority w:val="99"/>
    <w:rPr>
      <w:kern w:val="2"/>
      <w:sz w:val="18"/>
      <w:szCs w:val="18"/>
    </w:rPr>
  </w:style>
  <w:style w:type="character" w:customStyle="1" w:styleId="18">
    <w:name w:val="日期 Char"/>
    <w:basedOn w:val="11"/>
    <w:link w:val="3"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4</Pages>
  <Words>1474</Words>
  <Characters>1609</Characters>
  <Lines>12</Lines>
  <Paragraphs>3</Paragraphs>
  <TotalTime>51</TotalTime>
  <ScaleCrop>false</ScaleCrop>
  <LinksUpToDate>false</LinksUpToDate>
  <CharactersWithSpaces>1615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2025-09-12T03:21:00Z</dcterms:created>
  <dc:creator>AutoBVT</dc:creator>
  <cp:lastModifiedBy>ztb</cp:lastModifiedBy>
  <dcterms:modified xsi:type="dcterms:W3CDTF">2026-08-25T07:05:47Z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683B325F878841F4B619A30CBFF4F5D9_13</vt:lpwstr>
  </property>
  <property fmtid="{D5CDD505-2E9C-101B-9397-08002B2CF9AE}" pid="4" name="KSOTemplateDocerSaveRecord">
    <vt:lpwstr>eyJoZGlkIjoiOWUyODdjMzQxMjk5MjdjYjFiYmIyNjYyZjIyYTY0M2EiLCJ1c2VySWQiOiIxMjQyNjg5MDUwIn0=</vt:lpwstr>
  </property>
</Properties>
</file>